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A27" w:rsidRPr="00874A27" w:rsidRDefault="00874A27" w:rsidP="00874A27">
      <w:pPr>
        <w:shd w:val="clear" w:color="auto" w:fill="FFFFFF"/>
        <w:spacing w:after="0" w:line="240" w:lineRule="auto"/>
        <w:jc w:val="center"/>
        <w:rPr>
          <w:rFonts w:ascii="Arial" w:eastAsia="Times New Roman" w:hAnsi="Arial" w:cs="Arial"/>
          <w:color w:val="000000"/>
          <w:sz w:val="23"/>
          <w:szCs w:val="23"/>
          <w:lang w:eastAsia="fr-FR"/>
        </w:rPr>
      </w:pPr>
      <w:r w:rsidRPr="00874A27">
        <w:rPr>
          <w:rFonts w:ascii="Arial" w:eastAsia="Times New Roman" w:hAnsi="Arial" w:cs="Arial"/>
          <w:color w:val="000000"/>
          <w:sz w:val="23"/>
          <w:szCs w:val="23"/>
          <w:lang w:eastAsia="fr-FR"/>
        </w:rPr>
        <w:br/>
      </w:r>
      <w:r w:rsidRPr="00874A27">
        <w:rPr>
          <w:rFonts w:ascii="Arial" w:eastAsia="Times New Roman" w:hAnsi="Arial" w:cs="Arial"/>
          <w:b/>
          <w:bCs/>
          <w:color w:val="000000"/>
          <w:sz w:val="23"/>
          <w:szCs w:val="23"/>
          <w:lang w:eastAsia="fr-FR"/>
        </w:rPr>
        <w:t>LOI n° 2014-366 du 24 mars 2014 pour l'accès au logement et un urbanisme rénové (1)</w:t>
      </w:r>
      <w:r w:rsidRPr="00874A27">
        <w:rPr>
          <w:rFonts w:ascii="Arial" w:eastAsia="Times New Roman" w:hAnsi="Arial" w:cs="Arial"/>
          <w:color w:val="000000"/>
          <w:sz w:val="23"/>
          <w:szCs w:val="23"/>
          <w:lang w:eastAsia="fr-FR"/>
        </w:rPr>
        <w:br/>
      </w:r>
      <w:r w:rsidRPr="00874A27">
        <w:rPr>
          <w:rFonts w:ascii="Arial" w:eastAsia="Times New Roman" w:hAnsi="Arial" w:cs="Arial"/>
          <w:color w:val="000000"/>
          <w:sz w:val="23"/>
          <w:szCs w:val="23"/>
          <w:lang w:eastAsia="fr-FR"/>
        </w:rPr>
        <w:br/>
        <w:t>NOR: ETLX1313501L</w:t>
      </w:r>
    </w:p>
    <w:p w:rsidR="00874A27" w:rsidRPr="00874A27" w:rsidRDefault="00874A27" w:rsidP="00874A27">
      <w:pPr>
        <w:shd w:val="clear" w:color="auto" w:fill="FFFFFF"/>
        <w:spacing w:line="240" w:lineRule="auto"/>
        <w:jc w:val="center"/>
        <w:rPr>
          <w:rFonts w:ascii="Arial" w:eastAsia="Times New Roman" w:hAnsi="Arial" w:cs="Arial"/>
          <w:color w:val="000000"/>
          <w:sz w:val="20"/>
          <w:szCs w:val="20"/>
          <w:lang w:eastAsia="fr-FR"/>
        </w:rPr>
      </w:pPr>
      <w:r w:rsidRPr="00874A27">
        <w:rPr>
          <w:rFonts w:ascii="Arial" w:eastAsia="Times New Roman" w:hAnsi="Arial" w:cs="Arial"/>
          <w:color w:val="000000"/>
          <w:sz w:val="20"/>
          <w:szCs w:val="20"/>
          <w:lang w:eastAsia="fr-FR"/>
        </w:rPr>
        <w:t>ELI: https://www.legifrance.gouv.fr/eli/loi/2014/3/24/ETLX1313501L/jo/texte</w:t>
      </w:r>
      <w:r w:rsidRPr="00874A27">
        <w:rPr>
          <w:rFonts w:ascii="Arial" w:eastAsia="Times New Roman" w:hAnsi="Arial" w:cs="Arial"/>
          <w:color w:val="000000"/>
          <w:sz w:val="20"/>
          <w:szCs w:val="20"/>
          <w:lang w:eastAsia="fr-FR"/>
        </w:rPr>
        <w:br/>
        <w:t>Alias: https://www.legifrance.gouv.fr/eli/loi/2014/3/24/2014-366/jo/texte</w:t>
      </w:r>
    </w:p>
    <w:p w:rsidR="00874A27" w:rsidRPr="00874A27" w:rsidRDefault="00874A27" w:rsidP="00874A27">
      <w:pPr>
        <w:shd w:val="clear" w:color="auto" w:fill="FFFFFF"/>
        <w:spacing w:before="180" w:after="180" w:line="240" w:lineRule="auto"/>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L'Assemblée nationale et le Sénat ont adopté,</w:t>
      </w:r>
      <w:r w:rsidRPr="00874A27">
        <w:rPr>
          <w:rFonts w:ascii="Arial" w:eastAsia="Times New Roman" w:hAnsi="Arial" w:cs="Arial"/>
          <w:color w:val="000000"/>
          <w:sz w:val="19"/>
          <w:szCs w:val="19"/>
          <w:lang w:eastAsia="fr-FR"/>
        </w:rPr>
        <w:br/>
        <w:t>Vu la </w:t>
      </w:r>
      <w:hyperlink r:id="rId5" w:history="1">
        <w:r w:rsidRPr="00874A27">
          <w:rPr>
            <w:rFonts w:ascii="Arial" w:eastAsia="Times New Roman" w:hAnsi="Arial" w:cs="Arial"/>
            <w:color w:val="336699"/>
            <w:sz w:val="19"/>
            <w:szCs w:val="19"/>
            <w:u w:val="single"/>
            <w:lang w:eastAsia="fr-FR"/>
          </w:rPr>
          <w:t>décision du Conseil constitutionnel n° 2014-691 DC en date du 20 mars 2014,</w:t>
        </w:r>
      </w:hyperlink>
      <w:r w:rsidRPr="00874A27">
        <w:rPr>
          <w:rFonts w:ascii="Arial" w:eastAsia="Times New Roman" w:hAnsi="Arial" w:cs="Arial"/>
          <w:color w:val="000000"/>
          <w:sz w:val="19"/>
          <w:szCs w:val="19"/>
          <w:lang w:eastAsia="fr-FR"/>
        </w:rPr>
        <w:br/>
        <w:t>Le Président de la République promulgue la loi dont la teneur suit :</w:t>
      </w:r>
    </w:p>
    <w:p w:rsidR="00874A27" w:rsidRPr="00874A27" w:rsidRDefault="00874A27" w:rsidP="00874A27">
      <w:pPr>
        <w:numPr>
          <w:ilvl w:val="0"/>
          <w:numId w:val="1"/>
        </w:numPr>
        <w:shd w:val="clear" w:color="auto" w:fill="FFFFFF"/>
        <w:spacing w:before="100" w:beforeAutospacing="1" w:after="100" w:afterAutospacing="1" w:line="240" w:lineRule="auto"/>
        <w:ind w:left="18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TITRE Ier : FAVORISER L'ACCÈS DE TOUS À UN LOGEMENT DIGNE ET ABORDABLE</w:t>
      </w:r>
    </w:p>
    <w:p w:rsidR="00874A27" w:rsidRPr="00874A27" w:rsidRDefault="00874A27" w:rsidP="00874A27">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Ier : Améliorer les rapports entre propriétaires et locataires dans le parc privé</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0" w:name="JORFARTI000028772281"/>
      <w:bookmarkEnd w:id="0"/>
      <w:r w:rsidRPr="00874A27">
        <w:rPr>
          <w:rFonts w:ascii="Arial" w:eastAsia="Times New Roman" w:hAnsi="Arial" w:cs="Arial"/>
          <w:b/>
          <w:bCs/>
          <w:color w:val="000000"/>
          <w:sz w:val="23"/>
          <w:szCs w:val="23"/>
          <w:lang w:eastAsia="fr-FR"/>
        </w:rPr>
        <w:t>Article 1 </w:t>
      </w:r>
      <w:hyperlink r:id="rId6" w:tooltip="En savoir plus sur l'article 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w:t>
      </w:r>
      <w:hyperlink r:id="rId7" w:history="1">
        <w:r w:rsidRPr="00874A27">
          <w:rPr>
            <w:rFonts w:ascii="Arial" w:eastAsia="Times New Roman" w:hAnsi="Arial" w:cs="Arial"/>
            <w:color w:val="336699"/>
            <w:sz w:val="19"/>
            <w:szCs w:val="19"/>
            <w:u w:val="single"/>
            <w:lang w:eastAsia="fr-FR"/>
          </w:rPr>
          <w:t>chapitre Ier du titre Ier de la loi n° 89-462 du 6 juillet 1989 </w:t>
        </w:r>
      </w:hyperlink>
      <w:r w:rsidRPr="00874A27">
        <w:rPr>
          <w:rFonts w:ascii="Arial" w:eastAsia="Times New Roman" w:hAnsi="Arial" w:cs="Arial"/>
          <w:color w:val="000000"/>
          <w:sz w:val="19"/>
          <w:szCs w:val="19"/>
          <w:lang w:eastAsia="fr-FR"/>
        </w:rPr>
        <w:t>tendant à améliorer les rapports locatifs et portant modification de la loi n° 86-1290 du 23 décembre 1986 est ainsi modifié :</w:t>
      </w:r>
      <w:r w:rsidRPr="00874A27">
        <w:rPr>
          <w:rFonts w:ascii="Arial" w:eastAsia="Times New Roman" w:hAnsi="Arial" w:cs="Arial"/>
          <w:color w:val="000000"/>
          <w:sz w:val="19"/>
          <w:szCs w:val="19"/>
          <w:lang w:eastAsia="fr-FR"/>
        </w:rPr>
        <w:br/>
        <w:t>1° Après le mot : « logement », la fin du troisième alinéa de l'article 1er est ainsi rédigée : « pour un motif discriminatoire défini à l'</w:t>
      </w:r>
      <w:hyperlink r:id="rId8" w:history="1">
        <w:r w:rsidRPr="00874A27">
          <w:rPr>
            <w:rFonts w:ascii="Arial" w:eastAsia="Times New Roman" w:hAnsi="Arial" w:cs="Arial"/>
            <w:color w:val="336699"/>
            <w:sz w:val="19"/>
            <w:szCs w:val="19"/>
            <w:u w:val="single"/>
            <w:lang w:eastAsia="fr-FR"/>
          </w:rPr>
          <w:t>article 225-1 du code pénal</w:t>
        </w:r>
      </w:hyperlink>
      <w:r w:rsidRPr="00874A27">
        <w:rPr>
          <w:rFonts w:ascii="Arial" w:eastAsia="Times New Roman" w:hAnsi="Arial" w:cs="Arial"/>
          <w:color w:val="000000"/>
          <w:sz w:val="19"/>
          <w:szCs w:val="19"/>
          <w:lang w:eastAsia="fr-FR"/>
        </w:rPr>
        <w:t>. » ;</w:t>
      </w:r>
      <w:r w:rsidRPr="00874A27">
        <w:rPr>
          <w:rFonts w:ascii="Arial" w:eastAsia="Times New Roman" w:hAnsi="Arial" w:cs="Arial"/>
          <w:color w:val="000000"/>
          <w:sz w:val="19"/>
          <w:szCs w:val="19"/>
          <w:lang w:eastAsia="fr-FR"/>
        </w:rPr>
        <w:br/>
        <w:t>2° L'article 2 est ainsi rédigé :</w:t>
      </w:r>
      <w:r w:rsidRPr="00874A27">
        <w:rPr>
          <w:rFonts w:ascii="Arial" w:eastAsia="Times New Roman" w:hAnsi="Arial" w:cs="Arial"/>
          <w:color w:val="000000"/>
          <w:sz w:val="19"/>
          <w:szCs w:val="19"/>
          <w:lang w:eastAsia="fr-FR"/>
        </w:rPr>
        <w:br/>
        <w:t>« Art. 2.-Les dispositions du présent titre sont d'ordre public.</w:t>
      </w:r>
      <w:r w:rsidRPr="00874A27">
        <w:rPr>
          <w:rFonts w:ascii="Arial" w:eastAsia="Times New Roman" w:hAnsi="Arial" w:cs="Arial"/>
          <w:color w:val="000000"/>
          <w:sz w:val="19"/>
          <w:szCs w:val="19"/>
          <w:lang w:eastAsia="fr-FR"/>
        </w:rPr>
        <w:br/>
        <w:t>« Le présent titre s'applique aux locations de locaux à usage d'habitation ou à usage mixte professionnel et d'habitation, et qui constituent la résidence principale du preneur, ainsi qu'aux garages, aires et places de stationnement, jardins et autres locaux, loués accessoirement au local principal par le même bailleur. La résidence principale est entendue comme le logement occupé au moins huit mois par an, sauf obligation professionnelle, raison de santé ou cas de force majeure, soit par le preneur ou son conjoint, soit par une personne à charge au sens du </w:t>
      </w:r>
      <w:hyperlink r:id="rId9" w:history="1">
        <w:r w:rsidRPr="00874A27">
          <w:rPr>
            <w:rFonts w:ascii="Arial" w:eastAsia="Times New Roman" w:hAnsi="Arial" w:cs="Arial"/>
            <w:color w:val="336699"/>
            <w:sz w:val="19"/>
            <w:szCs w:val="19"/>
            <w:u w:val="single"/>
            <w:lang w:eastAsia="fr-FR"/>
          </w:rPr>
          <w:t>code de la construction et de l'habitation</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Toutefois, ce titre ne s'applique pas :</w:t>
      </w:r>
      <w:r w:rsidRPr="00874A27">
        <w:rPr>
          <w:rFonts w:ascii="Arial" w:eastAsia="Times New Roman" w:hAnsi="Arial" w:cs="Arial"/>
          <w:color w:val="000000"/>
          <w:sz w:val="19"/>
          <w:szCs w:val="19"/>
          <w:lang w:eastAsia="fr-FR"/>
        </w:rPr>
        <w:br/>
        <w:t>« 1° Aux logements-foyers, à l'exception du premier alinéa de l'article 6 et de l'article 20-1 ;</w:t>
      </w:r>
      <w:r w:rsidRPr="00874A27">
        <w:rPr>
          <w:rFonts w:ascii="Arial" w:eastAsia="Times New Roman" w:hAnsi="Arial" w:cs="Arial"/>
          <w:color w:val="000000"/>
          <w:sz w:val="19"/>
          <w:szCs w:val="19"/>
          <w:lang w:eastAsia="fr-FR"/>
        </w:rPr>
        <w:br/>
        <w:t>« 2° Aux logements meublés, régis par le titre Ier bis ;</w:t>
      </w:r>
      <w:r w:rsidRPr="00874A27">
        <w:rPr>
          <w:rFonts w:ascii="Arial" w:eastAsia="Times New Roman" w:hAnsi="Arial" w:cs="Arial"/>
          <w:color w:val="000000"/>
          <w:sz w:val="19"/>
          <w:szCs w:val="19"/>
          <w:lang w:eastAsia="fr-FR"/>
        </w:rPr>
        <w:br/>
        <w:t>« 3° Aux logements attribués ou loués en raison de l'exercice d'une fonction ou de l'occupation d'un emploi et aux locations consenties aux travailleurs saisonniers, à l'exception de l'article 3-3, des deux premiers alinéas de l'article 6, de l'article 20-1 et de l'article 24-1. » ;</w:t>
      </w:r>
      <w:r w:rsidRPr="00874A27">
        <w:rPr>
          <w:rFonts w:ascii="Arial" w:eastAsia="Times New Roman" w:hAnsi="Arial" w:cs="Arial"/>
          <w:color w:val="000000"/>
          <w:sz w:val="19"/>
          <w:szCs w:val="19"/>
          <w:lang w:eastAsia="fr-FR"/>
        </w:rPr>
        <w:br/>
        <w:t>3° L'article 3 est ainsi rédigé :</w:t>
      </w:r>
      <w:r w:rsidRPr="00874A27">
        <w:rPr>
          <w:rFonts w:ascii="Arial" w:eastAsia="Times New Roman" w:hAnsi="Arial" w:cs="Arial"/>
          <w:color w:val="000000"/>
          <w:sz w:val="19"/>
          <w:szCs w:val="19"/>
          <w:lang w:eastAsia="fr-FR"/>
        </w:rPr>
        <w:br/>
        <w:t>« Art. 3.-Le contrat de location est établi par écrit et respecte un contrat type défini par décret en Conseil d'Etat, pris après avis de la Commission nationale de concertation.</w:t>
      </w:r>
      <w:r w:rsidRPr="00874A27">
        <w:rPr>
          <w:rFonts w:ascii="Arial" w:eastAsia="Times New Roman" w:hAnsi="Arial" w:cs="Arial"/>
          <w:color w:val="000000"/>
          <w:sz w:val="19"/>
          <w:szCs w:val="19"/>
          <w:lang w:eastAsia="fr-FR"/>
        </w:rPr>
        <w:br/>
        <w:t>« Le contrat de location précise :</w:t>
      </w:r>
      <w:r w:rsidRPr="00874A27">
        <w:rPr>
          <w:rFonts w:ascii="Arial" w:eastAsia="Times New Roman" w:hAnsi="Arial" w:cs="Arial"/>
          <w:color w:val="000000"/>
          <w:sz w:val="19"/>
          <w:szCs w:val="19"/>
          <w:lang w:eastAsia="fr-FR"/>
        </w:rPr>
        <w:br/>
        <w:t>« 1° Le nom ou la dénomination du bailleur et son domicile ou son siège social ainsi que, le cas échéant, ceux de son mandataire ;</w:t>
      </w:r>
      <w:r w:rsidRPr="00874A27">
        <w:rPr>
          <w:rFonts w:ascii="Arial" w:eastAsia="Times New Roman" w:hAnsi="Arial" w:cs="Arial"/>
          <w:color w:val="000000"/>
          <w:sz w:val="19"/>
          <w:szCs w:val="19"/>
          <w:lang w:eastAsia="fr-FR"/>
        </w:rPr>
        <w:br/>
        <w:t>« 2° Le nom ou la dénomination du locataire ;</w:t>
      </w:r>
      <w:r w:rsidRPr="00874A27">
        <w:rPr>
          <w:rFonts w:ascii="Arial" w:eastAsia="Times New Roman" w:hAnsi="Arial" w:cs="Arial"/>
          <w:color w:val="000000"/>
          <w:sz w:val="19"/>
          <w:szCs w:val="19"/>
          <w:lang w:eastAsia="fr-FR"/>
        </w:rPr>
        <w:br/>
        <w:t>« 3° La date de prise d'effet et la durée ;</w:t>
      </w:r>
      <w:r w:rsidRPr="00874A27">
        <w:rPr>
          <w:rFonts w:ascii="Arial" w:eastAsia="Times New Roman" w:hAnsi="Arial" w:cs="Arial"/>
          <w:color w:val="000000"/>
          <w:sz w:val="19"/>
          <w:szCs w:val="19"/>
          <w:lang w:eastAsia="fr-FR"/>
        </w:rPr>
        <w:br/>
        <w:t>« 4° La consistance, la destination ainsi que la surface habitable de la chose louée, définie par le </w:t>
      </w:r>
      <w:hyperlink r:id="rId10" w:history="1">
        <w:r w:rsidRPr="00874A27">
          <w:rPr>
            <w:rFonts w:ascii="Arial" w:eastAsia="Times New Roman" w:hAnsi="Arial" w:cs="Arial"/>
            <w:color w:val="336699"/>
            <w:sz w:val="19"/>
            <w:szCs w:val="19"/>
            <w:u w:val="single"/>
            <w:lang w:eastAsia="fr-FR"/>
          </w:rPr>
          <w:t>code de la construction et de l'habitation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5° La désignation des locaux et équipements d'usage privatif dont le locataire a la jouissance exclusive et, le cas échéant, l'énumération des parties, équipements et accessoires de l'immeuble qui font l'objet d'un usage commun, ainsi que des équipements d'accès aux technologies de l'information et de la communication ;</w:t>
      </w:r>
      <w:r w:rsidRPr="00874A27">
        <w:rPr>
          <w:rFonts w:ascii="Arial" w:eastAsia="Times New Roman" w:hAnsi="Arial" w:cs="Arial"/>
          <w:color w:val="000000"/>
          <w:sz w:val="19"/>
          <w:szCs w:val="19"/>
          <w:lang w:eastAsia="fr-FR"/>
        </w:rPr>
        <w:br/>
        <w:t>« 6° Le montant du loyer, ses modalités de paiement ainsi que ses règles de révision éventuelle ;</w:t>
      </w:r>
      <w:r w:rsidRPr="00874A27">
        <w:rPr>
          <w:rFonts w:ascii="Arial" w:eastAsia="Times New Roman" w:hAnsi="Arial" w:cs="Arial"/>
          <w:color w:val="000000"/>
          <w:sz w:val="19"/>
          <w:szCs w:val="19"/>
          <w:lang w:eastAsia="fr-FR"/>
        </w:rPr>
        <w:br/>
        <w:t>« 7° Le loyer de référence et le loyer de référence majoré, correspondant à la catégorie de logement et définis par le représentant de l'Etat dans le département dans les zones où s'applique l'arrêté mentionné au I de l'article 17 ;</w:t>
      </w:r>
      <w:r w:rsidRPr="00874A27">
        <w:rPr>
          <w:rFonts w:ascii="Arial" w:eastAsia="Times New Roman" w:hAnsi="Arial" w:cs="Arial"/>
          <w:color w:val="000000"/>
          <w:sz w:val="19"/>
          <w:szCs w:val="19"/>
          <w:lang w:eastAsia="fr-FR"/>
        </w:rPr>
        <w:br/>
        <w:t xml:space="preserve">« 8° Le montant et la date de versement du dernier loyer acquitté par le précédent locataire, dès lors </w:t>
      </w:r>
      <w:r w:rsidRPr="00874A27">
        <w:rPr>
          <w:rFonts w:ascii="Arial" w:eastAsia="Times New Roman" w:hAnsi="Arial" w:cs="Arial"/>
          <w:color w:val="000000"/>
          <w:sz w:val="19"/>
          <w:szCs w:val="19"/>
          <w:lang w:eastAsia="fr-FR"/>
        </w:rPr>
        <w:lastRenderedPageBreak/>
        <w:t>que ce dernier a quitté le logement moins de dix-huit mois avant la signature du bail ;</w:t>
      </w:r>
      <w:r w:rsidRPr="00874A27">
        <w:rPr>
          <w:rFonts w:ascii="Arial" w:eastAsia="Times New Roman" w:hAnsi="Arial" w:cs="Arial"/>
          <w:color w:val="000000"/>
          <w:sz w:val="19"/>
          <w:szCs w:val="19"/>
          <w:lang w:eastAsia="fr-FR"/>
        </w:rPr>
        <w:br/>
        <w:t>« 9° La nature et le montant des travaux effectués dans le logement depuis la fin du dernier contrat de location ou depuis le dernier renouvellement du bail ;</w:t>
      </w:r>
      <w:r w:rsidRPr="00874A27">
        <w:rPr>
          <w:rFonts w:ascii="Arial" w:eastAsia="Times New Roman" w:hAnsi="Arial" w:cs="Arial"/>
          <w:color w:val="000000"/>
          <w:sz w:val="19"/>
          <w:szCs w:val="19"/>
          <w:lang w:eastAsia="fr-FR"/>
        </w:rPr>
        <w:br/>
        <w:t>« 10° Le montant du dépôt de garantie, si celui-ci est prévu.</w:t>
      </w:r>
      <w:r w:rsidRPr="00874A27">
        <w:rPr>
          <w:rFonts w:ascii="Arial" w:eastAsia="Times New Roman" w:hAnsi="Arial" w:cs="Arial"/>
          <w:color w:val="000000"/>
          <w:sz w:val="19"/>
          <w:szCs w:val="19"/>
          <w:lang w:eastAsia="fr-FR"/>
        </w:rPr>
        <w:br/>
        <w:t>« Le renoncement, le cas échéant, au bénéfice de la garantie universelle des loyers, telle que prévue à l'article 24-2, doit être expressément mentionné dans le contrat de location. A défaut, le bailleur s'engage à déclarer le contrat de location auprès de l'agence mentionnée au II du même article 24-2.</w:t>
      </w:r>
      <w:r w:rsidRPr="00874A27">
        <w:rPr>
          <w:rFonts w:ascii="Arial" w:eastAsia="Times New Roman" w:hAnsi="Arial" w:cs="Arial"/>
          <w:color w:val="000000"/>
          <w:sz w:val="19"/>
          <w:szCs w:val="19"/>
          <w:lang w:eastAsia="fr-FR"/>
        </w:rPr>
        <w:br/>
        <w:t>« Une notice d'information relative aux droits et obligations des locataires et des bailleurs ainsi qu'aux voies de conciliation et de recours qui leur sont ouvertes pour régler leurs litiges est annexée au contrat de location. Cette notice d'information précise également les droits, obligations et effets, pour les parties au contrat de location, de la mise en œuvre de la garantie universelle des loyers, telle que prévue au même article 24-2. Un arrêté du ministre chargé du logement, pris après avis de la Commission nationale de concertation, détermine le contenu de cette notice.</w:t>
      </w:r>
      <w:r w:rsidRPr="00874A27">
        <w:rPr>
          <w:rFonts w:ascii="Arial" w:eastAsia="Times New Roman" w:hAnsi="Arial" w:cs="Arial"/>
          <w:color w:val="000000"/>
          <w:sz w:val="19"/>
          <w:szCs w:val="19"/>
          <w:lang w:eastAsia="fr-FR"/>
        </w:rPr>
        <w:br/>
        <w:t>« Lorsque l'immeuble est soumis au statut de la copropriété, le copropriétaire bailleur est tenu de communiquer au locataire les extraits du règlement de copropriété concernant la destination de l'immeuble, la jouissance et l'usage des parties privatives et communes, et précisant la quote-part afférente au lot loué dans chacune des catégories de charges.</w:t>
      </w:r>
      <w:r w:rsidRPr="00874A27">
        <w:rPr>
          <w:rFonts w:ascii="Arial" w:eastAsia="Times New Roman" w:hAnsi="Arial" w:cs="Arial"/>
          <w:color w:val="000000"/>
          <w:sz w:val="19"/>
          <w:szCs w:val="19"/>
          <w:lang w:eastAsia="fr-FR"/>
        </w:rPr>
        <w:br/>
        <w:t>« Le bailleur ne peut pas se prévaloir de la violation du présent article.</w:t>
      </w:r>
      <w:r w:rsidRPr="00874A27">
        <w:rPr>
          <w:rFonts w:ascii="Arial" w:eastAsia="Times New Roman" w:hAnsi="Arial" w:cs="Arial"/>
          <w:color w:val="000000"/>
          <w:sz w:val="19"/>
          <w:szCs w:val="19"/>
          <w:lang w:eastAsia="fr-FR"/>
        </w:rPr>
        <w:br/>
        <w:t>« Chaque partie peut exiger de l'autre partie, à tout moment, l'établissement d'un contrat conforme au présent article. En cas de mutation à titre gratuit ou onéreux du logement, le nouveau bailleur est tenu de notifier au locataire son nom ou sa dénomination et son domicile ou son siège social ainsi que, le cas échéant, ceux de son mandataire.</w:t>
      </w:r>
      <w:r w:rsidRPr="00874A27">
        <w:rPr>
          <w:rFonts w:ascii="Arial" w:eastAsia="Times New Roman" w:hAnsi="Arial" w:cs="Arial"/>
          <w:color w:val="000000"/>
          <w:sz w:val="19"/>
          <w:szCs w:val="19"/>
          <w:lang w:eastAsia="fr-FR"/>
        </w:rPr>
        <w:br/>
        <w:t>« En cas d'absence dans le contrat de location d'une des informations relatives à la surface habitable, aux loyers de référence et au dernier loyer acquitté par le précédent locataire, le locataire peut, dans un délai d'un mois à compter de la prise d'effet du contrat de location, mettre en demeure le bailleur de porter ces informations au bail. A défaut de réponse du bailleur dans le délai d'un mois ou en cas de refus de ce dernier, le locataire peut saisir, dans le délai de trois mois à compter de la mise en demeure, la juridiction compétente afin d'obtenir, le cas échéant, la diminution du loyer. » ;</w:t>
      </w:r>
      <w:r w:rsidRPr="00874A27">
        <w:rPr>
          <w:rFonts w:ascii="Arial" w:eastAsia="Times New Roman" w:hAnsi="Arial" w:cs="Arial"/>
          <w:color w:val="000000"/>
          <w:sz w:val="19"/>
          <w:szCs w:val="19"/>
          <w:lang w:eastAsia="fr-FR"/>
        </w:rPr>
        <w:br/>
        <w:t>4° L'article 3-1 est ainsi rédigé :</w:t>
      </w:r>
      <w:r w:rsidRPr="00874A27">
        <w:rPr>
          <w:rFonts w:ascii="Arial" w:eastAsia="Times New Roman" w:hAnsi="Arial" w:cs="Arial"/>
          <w:color w:val="000000"/>
          <w:sz w:val="19"/>
          <w:szCs w:val="19"/>
          <w:lang w:eastAsia="fr-FR"/>
        </w:rPr>
        <w:br/>
        <w:t>« Art. 3-1.-Lorsque la surface habitable de la chose louée est inférieure de plus d'un vingtième à celle exprimée dans le contrat de location, le bailleur supporte, à la demande du locataire, une diminution du loyer proportionnelle à l'écart constaté. A défaut d'accord entre les parties ou à défaut de réponse du bailleur dans un délai de deux mois à compter de la demande en diminution de loyer, le juge peut être saisi, dans le délai de quatre mois à compter de cette même demande, afin de déterminer, le cas échéant, la diminution de loyer à appliquer. La diminution de loyer acceptée par le bailleur ou prononcée par le juge prend effet à la date de signature du bail. Si la demande en diminution du loyer par le locataire intervient plus de six mois à compter de la prise d'effet du bail, la diminution de loyer acceptée par le bailleur ou prononcée par le juge prend effet à la date de la demande. » ;</w:t>
      </w:r>
      <w:r w:rsidRPr="00874A27">
        <w:rPr>
          <w:rFonts w:ascii="Arial" w:eastAsia="Times New Roman" w:hAnsi="Arial" w:cs="Arial"/>
          <w:color w:val="000000"/>
          <w:sz w:val="19"/>
          <w:szCs w:val="19"/>
          <w:lang w:eastAsia="fr-FR"/>
        </w:rPr>
        <w:br/>
        <w:t>5° L'article 3-2 est ainsi rédigé :</w:t>
      </w:r>
      <w:r w:rsidRPr="00874A27">
        <w:rPr>
          <w:rFonts w:ascii="Arial" w:eastAsia="Times New Roman" w:hAnsi="Arial" w:cs="Arial"/>
          <w:color w:val="000000"/>
          <w:sz w:val="19"/>
          <w:szCs w:val="19"/>
          <w:lang w:eastAsia="fr-FR"/>
        </w:rPr>
        <w:br/>
        <w:t>« Art. 3-2.-Un état des lieux est établi selon des modalités définies par décret en Conseil d'Etat, pris après avis de la Commission nationale de concertation, dans les mêmes formes et en autant d'exemplaires que de parties lors de la remise et de la restitution des clés. Il est établi contradictoirement et amiablement par les parties ou par un tiers mandaté par elles et joint au contrat de location.</w:t>
      </w:r>
      <w:r w:rsidRPr="00874A27">
        <w:rPr>
          <w:rFonts w:ascii="Arial" w:eastAsia="Times New Roman" w:hAnsi="Arial" w:cs="Arial"/>
          <w:color w:val="000000"/>
          <w:sz w:val="19"/>
          <w:szCs w:val="19"/>
          <w:lang w:eastAsia="fr-FR"/>
        </w:rPr>
        <w:br/>
        <w:t>« Si l'état des lieux ne peut être établi dans les conditions prévues au premier alinéa, il est établi par un huissier de justice, sur l'initiative de la partie la plus diligente, à frais partagés par moitié entre le bailleur et le locataire et à un coût fixé par décret en Conseil d'Etat. Dans ce cas, les parties en sont avisées par l'huissier au moins sept jours à l'avance, par lettre recommandée avec demande d'avis de réception.</w:t>
      </w:r>
      <w:r w:rsidRPr="00874A27">
        <w:rPr>
          <w:rFonts w:ascii="Arial" w:eastAsia="Times New Roman" w:hAnsi="Arial" w:cs="Arial"/>
          <w:color w:val="000000"/>
          <w:sz w:val="19"/>
          <w:szCs w:val="19"/>
          <w:lang w:eastAsia="fr-FR"/>
        </w:rPr>
        <w:br/>
        <w:t>« A défaut d'état des lieux ou de la remise d'un exemplaire de l'état des lieux à l'une des parties, la présomption établie par l'</w:t>
      </w:r>
      <w:hyperlink r:id="rId11" w:history="1">
        <w:r w:rsidRPr="00874A27">
          <w:rPr>
            <w:rFonts w:ascii="Arial" w:eastAsia="Times New Roman" w:hAnsi="Arial" w:cs="Arial"/>
            <w:color w:val="336699"/>
            <w:sz w:val="19"/>
            <w:szCs w:val="19"/>
            <w:u w:val="single"/>
            <w:lang w:eastAsia="fr-FR"/>
          </w:rPr>
          <w:t>article 1731 du code civil </w:t>
        </w:r>
      </w:hyperlink>
      <w:r w:rsidRPr="00874A27">
        <w:rPr>
          <w:rFonts w:ascii="Arial" w:eastAsia="Times New Roman" w:hAnsi="Arial" w:cs="Arial"/>
          <w:color w:val="000000"/>
          <w:sz w:val="19"/>
          <w:szCs w:val="19"/>
          <w:lang w:eastAsia="fr-FR"/>
        </w:rPr>
        <w:t>ne peut être invoquée par celle des parties qui a fait obstacle à l'établissement de l'acte ou à sa remise à l'une des parties.</w:t>
      </w:r>
      <w:r w:rsidRPr="00874A27">
        <w:rPr>
          <w:rFonts w:ascii="Arial" w:eastAsia="Times New Roman" w:hAnsi="Arial" w:cs="Arial"/>
          <w:color w:val="000000"/>
          <w:sz w:val="19"/>
          <w:szCs w:val="19"/>
          <w:lang w:eastAsia="fr-FR"/>
        </w:rPr>
        <w:br/>
        <w:t>« Le locataire peut demander au bailleur ou à son représentant de compléter l'état des lieux dans un délai de dix jours à compter de son établissement. Si cette demande est refusée, le locataire peut saisir la commission départementale de conciliation territorialement compétente.</w:t>
      </w:r>
      <w:r w:rsidRPr="00874A27">
        <w:rPr>
          <w:rFonts w:ascii="Arial" w:eastAsia="Times New Roman" w:hAnsi="Arial" w:cs="Arial"/>
          <w:color w:val="000000"/>
          <w:sz w:val="19"/>
          <w:szCs w:val="19"/>
          <w:lang w:eastAsia="fr-FR"/>
        </w:rPr>
        <w:br/>
        <w:t>« Pendant le premier mois de la période de chauffe, le locataire peut demander que l'état des lieux soit complété par l'état des éléments de chauffage.</w:t>
      </w:r>
      <w:r w:rsidRPr="00874A27">
        <w:rPr>
          <w:rFonts w:ascii="Arial" w:eastAsia="Times New Roman" w:hAnsi="Arial" w:cs="Arial"/>
          <w:color w:val="000000"/>
          <w:sz w:val="19"/>
          <w:szCs w:val="19"/>
          <w:lang w:eastAsia="fr-FR"/>
        </w:rPr>
        <w:br/>
        <w:t>« Le propriétaire ou son mandataire complète les états des lieux d'entrée et de sortie par les relevés des index pour chaque énergie, en présence d'une installation de chauffage ou d'eau chaude sanitaire individuelle, ou collective avec un comptage individuel. L'extrait de l'état des lieux correspondant est mis à la disposition de la personne chargée d'établir le diagnostic de performance énergétique prévu à l'</w:t>
      </w:r>
      <w:hyperlink r:id="rId12" w:history="1">
        <w:r w:rsidRPr="00874A27">
          <w:rPr>
            <w:rFonts w:ascii="Arial" w:eastAsia="Times New Roman" w:hAnsi="Arial" w:cs="Arial"/>
            <w:color w:val="336699"/>
            <w:sz w:val="19"/>
            <w:szCs w:val="19"/>
            <w:u w:val="single"/>
            <w:lang w:eastAsia="fr-FR"/>
          </w:rPr>
          <w:t>article L. 134-1 du code de la construction et de l'habitation </w:t>
        </w:r>
      </w:hyperlink>
      <w:r w:rsidRPr="00874A27">
        <w:rPr>
          <w:rFonts w:ascii="Arial" w:eastAsia="Times New Roman" w:hAnsi="Arial" w:cs="Arial"/>
          <w:color w:val="000000"/>
          <w:sz w:val="19"/>
          <w:szCs w:val="19"/>
          <w:lang w:eastAsia="fr-FR"/>
        </w:rPr>
        <w:t>qui en fait la demande, sans préjudice de la mise à disposition des factures. » ;</w:t>
      </w:r>
      <w:r w:rsidRPr="00874A27">
        <w:rPr>
          <w:rFonts w:ascii="Arial" w:eastAsia="Times New Roman" w:hAnsi="Arial" w:cs="Arial"/>
          <w:color w:val="000000"/>
          <w:sz w:val="19"/>
          <w:szCs w:val="19"/>
          <w:lang w:eastAsia="fr-FR"/>
        </w:rPr>
        <w:br/>
        <w:t>6° Après l'article 3-2, il est inséré un article 3-3 ainsi rédigé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Art. 3-3.-Un dossier de diagnostic technique, fourni par le bailleur, est annexé au contrat de location lors de sa signature ou de son renouvellement et comprend :</w:t>
      </w:r>
      <w:r w:rsidRPr="00874A27">
        <w:rPr>
          <w:rFonts w:ascii="Arial" w:eastAsia="Times New Roman" w:hAnsi="Arial" w:cs="Arial"/>
          <w:color w:val="000000"/>
          <w:sz w:val="19"/>
          <w:szCs w:val="19"/>
          <w:lang w:eastAsia="fr-FR"/>
        </w:rPr>
        <w:br/>
        <w:t>« 1° Le diagnostic de performance énergétique prévu à l'</w:t>
      </w:r>
      <w:hyperlink r:id="rId13" w:history="1">
        <w:r w:rsidRPr="00874A27">
          <w:rPr>
            <w:rFonts w:ascii="Arial" w:eastAsia="Times New Roman" w:hAnsi="Arial" w:cs="Arial"/>
            <w:color w:val="336699"/>
            <w:sz w:val="19"/>
            <w:szCs w:val="19"/>
            <w:u w:val="single"/>
            <w:lang w:eastAsia="fr-FR"/>
          </w:rPr>
          <w:t>article L. 134-1 du code de la construction et de l'habitation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2° Le constat de risque d'exposition au plomb prévu aux articles </w:t>
      </w:r>
      <w:hyperlink r:id="rId14" w:history="1">
        <w:r w:rsidRPr="00874A27">
          <w:rPr>
            <w:rFonts w:ascii="Arial" w:eastAsia="Times New Roman" w:hAnsi="Arial" w:cs="Arial"/>
            <w:color w:val="336699"/>
            <w:sz w:val="19"/>
            <w:szCs w:val="19"/>
            <w:u w:val="single"/>
            <w:lang w:eastAsia="fr-FR"/>
          </w:rPr>
          <w:t>L. 1334-5 </w:t>
        </w:r>
      </w:hyperlink>
      <w:r w:rsidRPr="00874A27">
        <w:rPr>
          <w:rFonts w:ascii="Arial" w:eastAsia="Times New Roman" w:hAnsi="Arial" w:cs="Arial"/>
          <w:color w:val="000000"/>
          <w:sz w:val="19"/>
          <w:szCs w:val="19"/>
          <w:lang w:eastAsia="fr-FR"/>
        </w:rPr>
        <w:t>et </w:t>
      </w:r>
      <w:hyperlink r:id="rId15" w:history="1">
        <w:r w:rsidRPr="00874A27">
          <w:rPr>
            <w:rFonts w:ascii="Arial" w:eastAsia="Times New Roman" w:hAnsi="Arial" w:cs="Arial"/>
            <w:color w:val="336699"/>
            <w:sz w:val="19"/>
            <w:szCs w:val="19"/>
            <w:u w:val="single"/>
            <w:lang w:eastAsia="fr-FR"/>
          </w:rPr>
          <w:t>L. 1334-7 </w:t>
        </w:r>
      </w:hyperlink>
      <w:r w:rsidRPr="00874A27">
        <w:rPr>
          <w:rFonts w:ascii="Arial" w:eastAsia="Times New Roman" w:hAnsi="Arial" w:cs="Arial"/>
          <w:color w:val="000000"/>
          <w:sz w:val="19"/>
          <w:szCs w:val="19"/>
          <w:lang w:eastAsia="fr-FR"/>
        </w:rPr>
        <w:t>du code de la santé publique ;</w:t>
      </w:r>
      <w:r w:rsidRPr="00874A27">
        <w:rPr>
          <w:rFonts w:ascii="Arial" w:eastAsia="Times New Roman" w:hAnsi="Arial" w:cs="Arial"/>
          <w:color w:val="000000"/>
          <w:sz w:val="19"/>
          <w:szCs w:val="19"/>
          <w:lang w:eastAsia="fr-FR"/>
        </w:rPr>
        <w:br/>
        <w:t>« 3° Une copie d'un état mentionnant l'absence ou, le cas échéant, la présence de matériaux ou produits de la construction contenant de l'amiante. Un décret en Conseil d'Etat définit les modalités d'application du présent 3°, notamment la liste des matériaux ou produits concernés ;</w:t>
      </w:r>
      <w:r w:rsidRPr="00874A27">
        <w:rPr>
          <w:rFonts w:ascii="Arial" w:eastAsia="Times New Roman" w:hAnsi="Arial" w:cs="Arial"/>
          <w:color w:val="000000"/>
          <w:sz w:val="19"/>
          <w:szCs w:val="19"/>
          <w:lang w:eastAsia="fr-FR"/>
        </w:rPr>
        <w:br/>
        <w:t>« 4° Un état de l'installation intérieure d'électricité et de gaz, dont l'objet est d'évaluer les risques pouvant porter atteinte à la sécurité des personnes. Un décret en Conseil d'Etat définit les modalités d'application du présent 4° ainsi que les dates d'entrée en vigueur de l'obligation en fonction des enjeux liés aux différents types de logements, dans la limite de six ans à compter de la publication de la </w:t>
      </w:r>
      <w:hyperlink r:id="rId16" w:history="1">
        <w:r w:rsidRPr="00874A27">
          <w:rPr>
            <w:rFonts w:ascii="Arial" w:eastAsia="Times New Roman" w:hAnsi="Arial" w:cs="Arial"/>
            <w:color w:val="336699"/>
            <w:sz w:val="19"/>
            <w:szCs w:val="19"/>
            <w:u w:val="single"/>
            <w:lang w:eastAsia="fr-FR"/>
          </w:rPr>
          <w:t>loi n° 2014-366 du 24 mars 2014 </w:t>
        </w:r>
      </w:hyperlink>
      <w:r w:rsidRPr="00874A27">
        <w:rPr>
          <w:rFonts w:ascii="Arial" w:eastAsia="Times New Roman" w:hAnsi="Arial" w:cs="Arial"/>
          <w:color w:val="000000"/>
          <w:sz w:val="19"/>
          <w:szCs w:val="19"/>
          <w:lang w:eastAsia="fr-FR"/>
        </w:rPr>
        <w:t>pour l'accès au logement et un urbanisme rénové.</w:t>
      </w:r>
      <w:r w:rsidRPr="00874A27">
        <w:rPr>
          <w:rFonts w:ascii="Arial" w:eastAsia="Times New Roman" w:hAnsi="Arial" w:cs="Arial"/>
          <w:color w:val="000000"/>
          <w:sz w:val="19"/>
          <w:szCs w:val="19"/>
          <w:lang w:eastAsia="fr-FR"/>
        </w:rPr>
        <w:br/>
        <w:t>« Dans les zones mentionnées au </w:t>
      </w:r>
      <w:hyperlink r:id="rId17" w:history="1">
        <w:r w:rsidRPr="00874A27">
          <w:rPr>
            <w:rFonts w:ascii="Arial" w:eastAsia="Times New Roman" w:hAnsi="Arial" w:cs="Arial"/>
            <w:color w:val="336699"/>
            <w:sz w:val="19"/>
            <w:szCs w:val="19"/>
            <w:u w:val="single"/>
            <w:lang w:eastAsia="fr-FR"/>
          </w:rPr>
          <w:t>I de l'article L. 125-5 du code de l'environnement</w:t>
        </w:r>
      </w:hyperlink>
      <w:r w:rsidRPr="00874A27">
        <w:rPr>
          <w:rFonts w:ascii="Arial" w:eastAsia="Times New Roman" w:hAnsi="Arial" w:cs="Arial"/>
          <w:color w:val="000000"/>
          <w:sz w:val="19"/>
          <w:szCs w:val="19"/>
          <w:lang w:eastAsia="fr-FR"/>
        </w:rPr>
        <w:t>, le dossier de diagnostic technique est complété à chaque changement de locataire par l'état des risques naturels et technologiques.</w:t>
      </w:r>
      <w:r w:rsidRPr="00874A27">
        <w:rPr>
          <w:rFonts w:ascii="Arial" w:eastAsia="Times New Roman" w:hAnsi="Arial" w:cs="Arial"/>
          <w:color w:val="000000"/>
          <w:sz w:val="19"/>
          <w:szCs w:val="19"/>
          <w:lang w:eastAsia="fr-FR"/>
        </w:rPr>
        <w:br/>
        <w:t>« Le locataire ne peut se prévaloir à l'encontre du bailleur des informations contenues dans le diagnostic de performance énergétique, qui n'a qu'une valeur informative.</w:t>
      </w:r>
      <w:r w:rsidRPr="00874A27">
        <w:rPr>
          <w:rFonts w:ascii="Arial" w:eastAsia="Times New Roman" w:hAnsi="Arial" w:cs="Arial"/>
          <w:color w:val="000000"/>
          <w:sz w:val="19"/>
          <w:szCs w:val="19"/>
          <w:lang w:eastAsia="fr-FR"/>
        </w:rPr>
        <w:br/>
        <w:t>« Le propriétaire bailleur tient le diagnostic de performance énergétique à la disposition de tout candidat locataire. » ;</w:t>
      </w:r>
      <w:r w:rsidRPr="00874A27">
        <w:rPr>
          <w:rFonts w:ascii="Arial" w:eastAsia="Times New Roman" w:hAnsi="Arial" w:cs="Arial"/>
          <w:color w:val="000000"/>
          <w:sz w:val="19"/>
          <w:szCs w:val="19"/>
          <w:lang w:eastAsia="fr-FR"/>
        </w:rPr>
        <w:br/>
        <w:t>7° L'article 4 est ainsi modifié :</w:t>
      </w:r>
      <w:r w:rsidRPr="00874A27">
        <w:rPr>
          <w:rFonts w:ascii="Arial" w:eastAsia="Times New Roman" w:hAnsi="Arial" w:cs="Arial"/>
          <w:color w:val="000000"/>
          <w:sz w:val="19"/>
          <w:szCs w:val="19"/>
          <w:lang w:eastAsia="fr-FR"/>
        </w:rPr>
        <w:br/>
        <w:t>a) Au i, après le mot : « amendes », sont insérés les mots : « ou des pénalités » ;</w:t>
      </w:r>
      <w:r w:rsidRPr="00874A27">
        <w:rPr>
          <w:rFonts w:ascii="Arial" w:eastAsia="Times New Roman" w:hAnsi="Arial" w:cs="Arial"/>
          <w:color w:val="000000"/>
          <w:sz w:val="19"/>
          <w:szCs w:val="19"/>
          <w:lang w:eastAsia="fr-FR"/>
        </w:rPr>
        <w:br/>
        <w:t>b) Au r, le mot : « quarante » est remplacé par les mots : « vingt et un » ;</w:t>
      </w:r>
      <w:r w:rsidRPr="00874A27">
        <w:rPr>
          <w:rFonts w:ascii="Arial" w:eastAsia="Times New Roman" w:hAnsi="Arial" w:cs="Arial"/>
          <w:color w:val="000000"/>
          <w:sz w:val="19"/>
          <w:szCs w:val="19"/>
          <w:lang w:eastAsia="fr-FR"/>
        </w:rPr>
        <w:br/>
        <w:t>c) Il est ajouté un t ainsi rédigé :</w:t>
      </w:r>
      <w:r w:rsidRPr="00874A27">
        <w:rPr>
          <w:rFonts w:ascii="Arial" w:eastAsia="Times New Roman" w:hAnsi="Arial" w:cs="Arial"/>
          <w:color w:val="000000"/>
          <w:sz w:val="19"/>
          <w:szCs w:val="19"/>
          <w:lang w:eastAsia="fr-FR"/>
        </w:rPr>
        <w:br/>
        <w:t>« t) Qui impose au locataire, en surplus du paiement du loyer pour occupation du logement, de souscrire un contrat pour la location d'équipements. » ;</w:t>
      </w:r>
      <w:r w:rsidRPr="00874A27">
        <w:rPr>
          <w:rFonts w:ascii="Arial" w:eastAsia="Times New Roman" w:hAnsi="Arial" w:cs="Arial"/>
          <w:color w:val="000000"/>
          <w:sz w:val="19"/>
          <w:szCs w:val="19"/>
          <w:lang w:eastAsia="fr-FR"/>
        </w:rPr>
        <w:br/>
        <w:t>8° L'article 5 est ainsi rédigé :</w:t>
      </w:r>
      <w:r w:rsidRPr="00874A27">
        <w:rPr>
          <w:rFonts w:ascii="Arial" w:eastAsia="Times New Roman" w:hAnsi="Arial" w:cs="Arial"/>
          <w:color w:val="000000"/>
          <w:sz w:val="19"/>
          <w:szCs w:val="19"/>
          <w:lang w:eastAsia="fr-FR"/>
        </w:rPr>
        <w:br/>
        <w:t>« Art. 5.-I. ― La rémunération des personnes mandatées pour se livrer ou prêter leur concours à l'entremise ou à la négociation d'une mise en location d'un logement, tel que défini aux articles 2 et 25-3, est à la charge exclusive du bailleur, à l'exception des honoraires liés aux prestations mentionnées aux deuxième et troisième alinéas du présent I.</w:t>
      </w:r>
      <w:r w:rsidRPr="00874A27">
        <w:rPr>
          <w:rFonts w:ascii="Arial" w:eastAsia="Times New Roman" w:hAnsi="Arial" w:cs="Arial"/>
          <w:color w:val="000000"/>
          <w:sz w:val="19"/>
          <w:szCs w:val="19"/>
          <w:lang w:eastAsia="fr-FR"/>
        </w:rPr>
        <w:br/>
        <w:t>« Les honoraires des personnes mandatées pour effectuer la visite du preneur, constituer son dossier et rédiger un bail sont partagés entre le bailleur et le preneur. Le montant toutes taxes comprises imputé au preneur pour ces prestations ne peut excéder celui imputé au bailleur et demeure inférieur ou égal à un plafond par mètre carré de surface habitable de la chose louée fixé par voie réglementaire et révisable chaque année, dans des conditions définies par décret. Ces honoraires sont dus à la signature du bail.</w:t>
      </w:r>
      <w:r w:rsidRPr="00874A27">
        <w:rPr>
          <w:rFonts w:ascii="Arial" w:eastAsia="Times New Roman" w:hAnsi="Arial" w:cs="Arial"/>
          <w:color w:val="000000"/>
          <w:sz w:val="19"/>
          <w:szCs w:val="19"/>
          <w:lang w:eastAsia="fr-FR"/>
        </w:rPr>
        <w:br/>
        <w:t>« Les honoraires des personnes mandatées pour réaliser un état des lieux sont partagés entre le bailleur et le preneur. Le montant toutes taxes comprises imputé au locataire pour cette prestation ne peut excéder celui imputé au bailleur et demeure inférieur ou égal à un plafond par mètre carré de surface habitable de la chose louée fixé par voie réglementaire et révisable chaque année, dans des conditions définies par décret. Ces honoraires sont dus à compter de la réalisation de la prestation.</w:t>
      </w:r>
      <w:r w:rsidRPr="00874A27">
        <w:rPr>
          <w:rFonts w:ascii="Arial" w:eastAsia="Times New Roman" w:hAnsi="Arial" w:cs="Arial"/>
          <w:color w:val="000000"/>
          <w:sz w:val="19"/>
          <w:szCs w:val="19"/>
          <w:lang w:eastAsia="fr-FR"/>
        </w:rPr>
        <w:br/>
        <w:t>« Les trois premiers alinéas du présent I ainsi que les montants des plafonds qui y sont définis sont reproduits, à peine de nullité, dans le contrat de bail lorsque celui-ci est conclu avec le concours d'une personne mandatée et rémunérée à cette fin.</w:t>
      </w:r>
      <w:r w:rsidRPr="00874A27">
        <w:rPr>
          <w:rFonts w:ascii="Arial" w:eastAsia="Times New Roman" w:hAnsi="Arial" w:cs="Arial"/>
          <w:color w:val="000000"/>
          <w:sz w:val="19"/>
          <w:szCs w:val="19"/>
          <w:lang w:eastAsia="fr-FR"/>
        </w:rPr>
        <w:br/>
        <w:t>« II. ― Les professionnels qui interviennent, à quelque titre que ce soit, lors de la conclusion du contrat de bail d'un logement, lors de la location ou pour en assurer la gestion locative communiquent à l'observatoire local des loyers compétent, tel que défini à l'article 16, des informations relatives au logement et au contrat de location. Cette communication s'effectue directement ou par l'intermédiaire d'un organisme tiers qui transmet ces informations à l'association mentionnée au cinquième alinéa du même article 16, selon une méthodologie validée par l'instance scientifique mentionnée audit article.</w:t>
      </w:r>
      <w:r w:rsidRPr="00874A27">
        <w:rPr>
          <w:rFonts w:ascii="Arial" w:eastAsia="Times New Roman" w:hAnsi="Arial" w:cs="Arial"/>
          <w:color w:val="000000"/>
          <w:sz w:val="19"/>
          <w:szCs w:val="19"/>
          <w:lang w:eastAsia="fr-FR"/>
        </w:rPr>
        <w:br/>
        <w:t>« La nature de ces informations et les conditions dans lesquelles elles sont transmises sont définies par décret.</w:t>
      </w:r>
      <w:r w:rsidRPr="00874A27">
        <w:rPr>
          <w:rFonts w:ascii="Arial" w:eastAsia="Times New Roman" w:hAnsi="Arial" w:cs="Arial"/>
          <w:color w:val="000000"/>
          <w:sz w:val="19"/>
          <w:szCs w:val="19"/>
          <w:lang w:eastAsia="fr-FR"/>
        </w:rPr>
        <w:br/>
        <w:t>« Toute personne intéressée peut communiquer à l'observatoire local des loyers les informations mentionnées au premier alinéa du présent II.</w:t>
      </w:r>
      <w:r w:rsidRPr="00874A27">
        <w:rPr>
          <w:rFonts w:ascii="Arial" w:eastAsia="Times New Roman" w:hAnsi="Arial" w:cs="Arial"/>
          <w:color w:val="000000"/>
          <w:sz w:val="19"/>
          <w:szCs w:val="19"/>
          <w:lang w:eastAsia="fr-FR"/>
        </w:rPr>
        <w:br/>
        <w:t>« En cas de manquement à l'obligation mentionnée au même premier alinéa d'une personne exerçant une activité mentionnée à l'</w:t>
      </w:r>
      <w:hyperlink r:id="rId18" w:history="1">
        <w:r w:rsidRPr="00874A27">
          <w:rPr>
            <w:rFonts w:ascii="Arial" w:eastAsia="Times New Roman" w:hAnsi="Arial" w:cs="Arial"/>
            <w:color w:val="336699"/>
            <w:sz w:val="19"/>
            <w:szCs w:val="19"/>
            <w:u w:val="single"/>
            <w:lang w:eastAsia="fr-FR"/>
          </w:rPr>
          <w:t>article 1er de la loi n° 70-9 du 2 janvier 1970 </w:t>
        </w:r>
      </w:hyperlink>
      <w:r w:rsidRPr="00874A27">
        <w:rPr>
          <w:rFonts w:ascii="Arial" w:eastAsia="Times New Roman" w:hAnsi="Arial" w:cs="Arial"/>
          <w:color w:val="000000"/>
          <w:sz w:val="19"/>
          <w:szCs w:val="19"/>
          <w:lang w:eastAsia="fr-FR"/>
        </w:rPr>
        <w:t>réglementant les conditions d'exercice des activités relatives à certaines opérations portant sur les immeubles et les fonds de commerce, l'observatoire local des loyers saisit la commission de contrôle mentionnée à l'article 13-5 de la même loi. » ;</w:t>
      </w:r>
      <w:r w:rsidRPr="00874A27">
        <w:rPr>
          <w:rFonts w:ascii="Arial" w:eastAsia="Times New Roman" w:hAnsi="Arial" w:cs="Arial"/>
          <w:color w:val="000000"/>
          <w:sz w:val="19"/>
          <w:szCs w:val="19"/>
          <w:lang w:eastAsia="fr-FR"/>
        </w:rPr>
        <w:br/>
        <w:t>9° Au deuxième alinéa de l'article 6, les mots : « d'habitation » sont remplacés par les mots : « de résidence », le mot : « premier » est remplacé par le mot : « deuxième » et la référence : « au deuxième alinéa » est remplacée par les références : « aux 1° à 3°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10° L'article 7 est ainsi modifié :</w:t>
      </w:r>
      <w:r w:rsidRPr="00874A27">
        <w:rPr>
          <w:rFonts w:ascii="Arial" w:eastAsia="Times New Roman" w:hAnsi="Arial" w:cs="Arial"/>
          <w:color w:val="000000"/>
          <w:sz w:val="19"/>
          <w:szCs w:val="19"/>
          <w:lang w:eastAsia="fr-FR"/>
        </w:rPr>
        <w:br/>
        <w:t>a) Le a est complété par une phrase ainsi rédigée :</w:t>
      </w:r>
      <w:r w:rsidRPr="00874A27">
        <w:rPr>
          <w:rFonts w:ascii="Arial" w:eastAsia="Times New Roman" w:hAnsi="Arial" w:cs="Arial"/>
          <w:color w:val="000000"/>
          <w:sz w:val="19"/>
          <w:szCs w:val="19"/>
          <w:lang w:eastAsia="fr-FR"/>
        </w:rPr>
        <w:br/>
        <w:t>« Le paiement partiel du loyer par le locataire réalisé en application des articles </w:t>
      </w:r>
      <w:hyperlink r:id="rId19" w:history="1">
        <w:r w:rsidRPr="00874A27">
          <w:rPr>
            <w:rFonts w:ascii="Arial" w:eastAsia="Times New Roman" w:hAnsi="Arial" w:cs="Arial"/>
            <w:color w:val="336699"/>
            <w:sz w:val="19"/>
            <w:szCs w:val="19"/>
            <w:u w:val="single"/>
            <w:lang w:eastAsia="fr-FR"/>
          </w:rPr>
          <w:t>L. 542-2 </w:t>
        </w:r>
      </w:hyperlink>
      <w:r w:rsidRPr="00874A27">
        <w:rPr>
          <w:rFonts w:ascii="Arial" w:eastAsia="Times New Roman" w:hAnsi="Arial" w:cs="Arial"/>
          <w:color w:val="000000"/>
          <w:sz w:val="19"/>
          <w:szCs w:val="19"/>
          <w:lang w:eastAsia="fr-FR"/>
        </w:rPr>
        <w:t>et </w:t>
      </w:r>
      <w:hyperlink r:id="rId20" w:history="1">
        <w:r w:rsidRPr="00874A27">
          <w:rPr>
            <w:rFonts w:ascii="Arial" w:eastAsia="Times New Roman" w:hAnsi="Arial" w:cs="Arial"/>
            <w:color w:val="336699"/>
            <w:sz w:val="19"/>
            <w:szCs w:val="19"/>
            <w:u w:val="single"/>
            <w:lang w:eastAsia="fr-FR"/>
          </w:rPr>
          <w:t>L. 831-3 </w:t>
        </w:r>
      </w:hyperlink>
      <w:r w:rsidRPr="00874A27">
        <w:rPr>
          <w:rFonts w:ascii="Arial" w:eastAsia="Times New Roman" w:hAnsi="Arial" w:cs="Arial"/>
          <w:color w:val="000000"/>
          <w:sz w:val="19"/>
          <w:szCs w:val="19"/>
          <w:lang w:eastAsia="fr-FR"/>
        </w:rPr>
        <w:t>du code de la sécurité sociale ne peut être considéré comme un défaut de paiement du locataire ; »</w:t>
      </w:r>
      <w:r w:rsidRPr="00874A27">
        <w:rPr>
          <w:rFonts w:ascii="Arial" w:eastAsia="Times New Roman" w:hAnsi="Arial" w:cs="Arial"/>
          <w:color w:val="000000"/>
          <w:sz w:val="19"/>
          <w:szCs w:val="19"/>
          <w:lang w:eastAsia="fr-FR"/>
        </w:rPr>
        <w:br/>
        <w:t>b) Le d est complété par deux phrases ainsi rédigées :</w:t>
      </w:r>
      <w:r w:rsidRPr="00874A27">
        <w:rPr>
          <w:rFonts w:ascii="Arial" w:eastAsia="Times New Roman" w:hAnsi="Arial" w:cs="Arial"/>
          <w:color w:val="000000"/>
          <w:sz w:val="19"/>
          <w:szCs w:val="19"/>
          <w:lang w:eastAsia="fr-FR"/>
        </w:rPr>
        <w:br/>
        <w:t>« Les modalités de prise en compte de la vétusté de la chose louée sont déterminées par décret en Conseil d'Etat, après avis de la Commission nationale de concertation. Lorsque les organismes bailleurs mentionnés à l'</w:t>
      </w:r>
      <w:hyperlink r:id="rId21" w:history="1">
        <w:r w:rsidRPr="00874A27">
          <w:rPr>
            <w:rFonts w:ascii="Arial" w:eastAsia="Times New Roman" w:hAnsi="Arial" w:cs="Arial"/>
            <w:color w:val="336699"/>
            <w:sz w:val="19"/>
            <w:szCs w:val="19"/>
            <w:u w:val="single"/>
            <w:lang w:eastAsia="fr-FR"/>
          </w:rPr>
          <w:t>article L. 411-2 du code de la construction et de l'habitation </w:t>
        </w:r>
      </w:hyperlink>
      <w:r w:rsidRPr="00874A27">
        <w:rPr>
          <w:rFonts w:ascii="Arial" w:eastAsia="Times New Roman" w:hAnsi="Arial" w:cs="Arial"/>
          <w:color w:val="000000"/>
          <w:sz w:val="19"/>
          <w:szCs w:val="19"/>
          <w:lang w:eastAsia="fr-FR"/>
        </w:rPr>
        <w:t>ont conclu avec les représentants de leurs locataires des accords locaux portant sur les modalités de prise en compte de la vétusté et établissant des grilles de vétusté applicables lors de l'état des lieux, le locataire peut demander à ce que les stipulations prévues par lesdits accords soient appliquées ; »</w:t>
      </w:r>
      <w:r w:rsidRPr="00874A27">
        <w:rPr>
          <w:rFonts w:ascii="Arial" w:eastAsia="Times New Roman" w:hAnsi="Arial" w:cs="Arial"/>
          <w:color w:val="000000"/>
          <w:sz w:val="19"/>
          <w:szCs w:val="19"/>
          <w:lang w:eastAsia="fr-FR"/>
        </w:rPr>
        <w:br/>
        <w:t>c) Le e est ainsi rédigé :</w:t>
      </w:r>
      <w:r w:rsidRPr="00874A27">
        <w:rPr>
          <w:rFonts w:ascii="Arial" w:eastAsia="Times New Roman" w:hAnsi="Arial" w:cs="Arial"/>
          <w:color w:val="000000"/>
          <w:sz w:val="19"/>
          <w:szCs w:val="19"/>
          <w:lang w:eastAsia="fr-FR"/>
        </w:rPr>
        <w:br/>
        <w:t>« e) De permettre l'accès aux lieux loués pour la préparation et l'exécution de travaux d'amélioration des parties communes ou des parties privatives du même immeuble, de travaux nécessaires au maintien en état ou à l'entretien normal des locaux loués, de travaux d'amélioration de la performance énergétique à réaliser dans ces locaux et de travaux qui permettent de remplir les obligations mentionnées au premier alinéa de l'article 6. Les deux </w:t>
      </w:r>
      <w:hyperlink r:id="rId22" w:history="1">
        <w:r w:rsidRPr="00874A27">
          <w:rPr>
            <w:rFonts w:ascii="Arial" w:eastAsia="Times New Roman" w:hAnsi="Arial" w:cs="Arial"/>
            <w:color w:val="336699"/>
            <w:sz w:val="19"/>
            <w:szCs w:val="19"/>
            <w:u w:val="single"/>
            <w:lang w:eastAsia="fr-FR"/>
          </w:rPr>
          <w:t>derniers alinéas de l'article 1724 du code civil </w:t>
        </w:r>
      </w:hyperlink>
      <w:r w:rsidRPr="00874A27">
        <w:rPr>
          <w:rFonts w:ascii="Arial" w:eastAsia="Times New Roman" w:hAnsi="Arial" w:cs="Arial"/>
          <w:color w:val="000000"/>
          <w:sz w:val="19"/>
          <w:szCs w:val="19"/>
          <w:lang w:eastAsia="fr-FR"/>
        </w:rPr>
        <w:t>sont applicables à ces travaux sous réserve du respect de la </w:t>
      </w:r>
      <w:hyperlink r:id="rId23" w:history="1">
        <w:r w:rsidRPr="00874A27">
          <w:rPr>
            <w:rFonts w:ascii="Arial" w:eastAsia="Times New Roman" w:hAnsi="Arial" w:cs="Arial"/>
            <w:color w:val="336699"/>
            <w:sz w:val="19"/>
            <w:szCs w:val="19"/>
            <w:u w:val="single"/>
            <w:lang w:eastAsia="fr-FR"/>
          </w:rPr>
          <w:t>loi n° 67-561 du 12 juillet 1967 </w:t>
        </w:r>
      </w:hyperlink>
      <w:r w:rsidRPr="00874A27">
        <w:rPr>
          <w:rFonts w:ascii="Arial" w:eastAsia="Times New Roman" w:hAnsi="Arial" w:cs="Arial"/>
          <w:color w:val="000000"/>
          <w:sz w:val="19"/>
          <w:szCs w:val="19"/>
          <w:lang w:eastAsia="fr-FR"/>
        </w:rPr>
        <w:t>relative à l'amélioration de l'habitat. Avant le début des travaux, le locataire est informé par le bailleur de leur nature et des modalités de leur exécution par une notification de travaux qui lui est remise en main propre ou par lettre recommandée avec demande d'avis de réception. Aucuns travaux ne peuvent être réalisés les samedis, dimanches et jours fériés sans l'accord exprès du locataire. Si les travaux entrepris dans un local d'habitation occupé, ou leurs conditions de réalisation, présentent un caractère abusif ou vexatoire ou ne respectent pas les conditions définies dans la notification de préavis de travaux ou si leur exécution a pour effet de rendre l'utilisation du local impossible ou dangereuse, le juge peut prescrire, sur demande du locataire, l'interdiction ou l'interruption des travaux entrepris ; »</w:t>
      </w:r>
      <w:r w:rsidRPr="00874A27">
        <w:rPr>
          <w:rFonts w:ascii="Arial" w:eastAsia="Times New Roman" w:hAnsi="Arial" w:cs="Arial"/>
          <w:color w:val="000000"/>
          <w:sz w:val="19"/>
          <w:szCs w:val="19"/>
          <w:lang w:eastAsia="fr-FR"/>
        </w:rPr>
        <w:br/>
        <w:t>d) Le g est ainsi rédigé :</w:t>
      </w:r>
      <w:r w:rsidRPr="00874A27">
        <w:rPr>
          <w:rFonts w:ascii="Arial" w:eastAsia="Times New Roman" w:hAnsi="Arial" w:cs="Arial"/>
          <w:color w:val="000000"/>
          <w:sz w:val="19"/>
          <w:szCs w:val="19"/>
          <w:lang w:eastAsia="fr-FR"/>
        </w:rPr>
        <w:br/>
        <w:t>« g) De s'assurer contre les risques dont il doit répondre en sa qualité de locataire et d'en justifier lors de la remise des clés puis, chaque année, à la demande du bailleur. La justification de cette assurance résulte de la remise au bailleur d'une attestation de l'assureur ou de son représentant.</w:t>
      </w:r>
      <w:r w:rsidRPr="00874A27">
        <w:rPr>
          <w:rFonts w:ascii="Arial" w:eastAsia="Times New Roman" w:hAnsi="Arial" w:cs="Arial"/>
          <w:color w:val="000000"/>
          <w:sz w:val="19"/>
          <w:szCs w:val="19"/>
          <w:lang w:eastAsia="fr-FR"/>
        </w:rPr>
        <w:br/>
        <w:t>« Toute clause prévoyant la résiliation de plein droit du contrat de location pour défaut d'assurance du locataire ne produit effet qu'un mois après un commandement demeuré infructueux. Ce commandement reproduit, à peine de nullité, les dispositions du présent alinéa.</w:t>
      </w:r>
      <w:r w:rsidRPr="00874A27">
        <w:rPr>
          <w:rFonts w:ascii="Arial" w:eastAsia="Times New Roman" w:hAnsi="Arial" w:cs="Arial"/>
          <w:color w:val="000000"/>
          <w:sz w:val="19"/>
          <w:szCs w:val="19"/>
          <w:lang w:eastAsia="fr-FR"/>
        </w:rPr>
        <w:br/>
        <w:t>« A défaut de la remise de l'attestation d'assurance et après un délai d'un mois à compter d'une mise en demeure non suivie d'effet, le bailleur peut souscrire une assurance pour compte du locataire, récupérable auprès de celui-ci.</w:t>
      </w:r>
      <w:r w:rsidRPr="00874A27">
        <w:rPr>
          <w:rFonts w:ascii="Arial" w:eastAsia="Times New Roman" w:hAnsi="Arial" w:cs="Arial"/>
          <w:color w:val="000000"/>
          <w:sz w:val="19"/>
          <w:szCs w:val="19"/>
          <w:lang w:eastAsia="fr-FR"/>
        </w:rPr>
        <w:br/>
        <w:t>« Cette mise en demeure doit informer le locataire de la volonté du bailleur de souscrire une assurance pour compte du locataire et vaut renoncement à la mise en œuvre de la clause prévoyant, le cas échéant, la résiliation de plein droit du contrat de location pour défaut d'assurance du locataire.</w:t>
      </w:r>
      <w:r w:rsidRPr="00874A27">
        <w:rPr>
          <w:rFonts w:ascii="Arial" w:eastAsia="Times New Roman" w:hAnsi="Arial" w:cs="Arial"/>
          <w:color w:val="000000"/>
          <w:sz w:val="19"/>
          <w:szCs w:val="19"/>
          <w:lang w:eastAsia="fr-FR"/>
        </w:rPr>
        <w:br/>
        <w:t>« Cette assurance constitue une assurance pour compte au sens de l'</w:t>
      </w:r>
      <w:hyperlink r:id="rId24" w:history="1">
        <w:r w:rsidRPr="00874A27">
          <w:rPr>
            <w:rFonts w:ascii="Arial" w:eastAsia="Times New Roman" w:hAnsi="Arial" w:cs="Arial"/>
            <w:color w:val="336699"/>
            <w:sz w:val="19"/>
            <w:szCs w:val="19"/>
            <w:u w:val="single"/>
            <w:lang w:eastAsia="fr-FR"/>
          </w:rPr>
          <w:t>article L. 112-1 du code des assurances</w:t>
        </w:r>
      </w:hyperlink>
      <w:r w:rsidRPr="00874A27">
        <w:rPr>
          <w:rFonts w:ascii="Arial" w:eastAsia="Times New Roman" w:hAnsi="Arial" w:cs="Arial"/>
          <w:color w:val="000000"/>
          <w:sz w:val="19"/>
          <w:szCs w:val="19"/>
          <w:lang w:eastAsia="fr-FR"/>
        </w:rPr>
        <w:t>. Elle est limitée à la couverture de la responsabilité locative mentionnée au premier alinéa du présent g. Le montant total de la prime d'assurance annuelle, éventuellement majoré dans la limite d'un montant fixé par décret en Conseil d'Etat, est récupérable par le bailleur par douzième à chaque paiement du loyer. Il est inscrit sur l'avis d'échéance et porté sur la quittance remise au locataire.</w:t>
      </w:r>
      <w:r w:rsidRPr="00874A27">
        <w:rPr>
          <w:rFonts w:ascii="Arial" w:eastAsia="Times New Roman" w:hAnsi="Arial" w:cs="Arial"/>
          <w:color w:val="000000"/>
          <w:sz w:val="19"/>
          <w:szCs w:val="19"/>
          <w:lang w:eastAsia="fr-FR"/>
        </w:rPr>
        <w:br/>
        <w:t>« Une copie du contrat d'assurance est transmise au locataire lors de la souscription et à chaque renouvellement du contrat.</w:t>
      </w:r>
      <w:r w:rsidRPr="00874A27">
        <w:rPr>
          <w:rFonts w:ascii="Arial" w:eastAsia="Times New Roman" w:hAnsi="Arial" w:cs="Arial"/>
          <w:color w:val="000000"/>
          <w:sz w:val="19"/>
          <w:szCs w:val="19"/>
          <w:lang w:eastAsia="fr-FR"/>
        </w:rPr>
        <w:br/>
        <w:t>« Lorsque le locataire remet au bailleur une attestation d'assurance ou en cas de départ du locataire avant le terme du contrat d'assurance, le bailleur résilie le contrat souscrit pour le compte du locataire dans le délai le plus bref permis par la législation en vigueur. La prime ou la fraction de prime exigible dans ce délai au titre de la garantie souscrite par le bailleur demeure récupérable auprès du locataire. » ;</w:t>
      </w:r>
      <w:r w:rsidRPr="00874A27">
        <w:rPr>
          <w:rFonts w:ascii="Arial" w:eastAsia="Times New Roman" w:hAnsi="Arial" w:cs="Arial"/>
          <w:color w:val="000000"/>
          <w:sz w:val="19"/>
          <w:szCs w:val="19"/>
          <w:lang w:eastAsia="fr-FR"/>
        </w:rPr>
        <w:br/>
        <w:t>11° Après l'article 7, il est inséré un article 7-1 ainsi rédigé :</w:t>
      </w:r>
      <w:r w:rsidRPr="00874A27">
        <w:rPr>
          <w:rFonts w:ascii="Arial" w:eastAsia="Times New Roman" w:hAnsi="Arial" w:cs="Arial"/>
          <w:color w:val="000000"/>
          <w:sz w:val="19"/>
          <w:szCs w:val="19"/>
          <w:lang w:eastAsia="fr-FR"/>
        </w:rPr>
        <w:br/>
        <w:t>« Art. 7-1.-Toutes actions dérivant d'un contrat de bail sont prescrites par trois ans à compter du jour où le titulaire d'un droit a connu ou aurait dû connaître les faits lui permettant d'exercer ce droit.</w:t>
      </w:r>
      <w:r w:rsidRPr="00874A27">
        <w:rPr>
          <w:rFonts w:ascii="Arial" w:eastAsia="Times New Roman" w:hAnsi="Arial" w:cs="Arial"/>
          <w:color w:val="000000"/>
          <w:sz w:val="19"/>
          <w:szCs w:val="19"/>
          <w:lang w:eastAsia="fr-FR"/>
        </w:rPr>
        <w:br/>
        <w:t>« Toutefois, l'action en révision du loyer par le bailleur est prescrite un an après la date convenue par les parties dans le contrat de bail pour réviser ledit loyer. » ;</w:t>
      </w:r>
      <w:r w:rsidRPr="00874A27">
        <w:rPr>
          <w:rFonts w:ascii="Arial" w:eastAsia="Times New Roman" w:hAnsi="Arial" w:cs="Arial"/>
          <w:color w:val="000000"/>
          <w:sz w:val="19"/>
          <w:szCs w:val="19"/>
          <w:lang w:eastAsia="fr-FR"/>
        </w:rPr>
        <w:br/>
        <w:t>12° Le premier alinéa de l'article 8 est complété par une phrase ainsi rédigée :</w:t>
      </w:r>
      <w:r w:rsidRPr="00874A27">
        <w:rPr>
          <w:rFonts w:ascii="Arial" w:eastAsia="Times New Roman" w:hAnsi="Arial" w:cs="Arial"/>
          <w:color w:val="000000"/>
          <w:sz w:val="19"/>
          <w:szCs w:val="19"/>
          <w:lang w:eastAsia="fr-FR"/>
        </w:rPr>
        <w:br/>
        <w:t>« Le locataire transmet au sous-locataire l'autorisation écrite du bailleur et la copie du bail en cours. » ;</w:t>
      </w:r>
      <w:r w:rsidRPr="00874A27">
        <w:rPr>
          <w:rFonts w:ascii="Arial" w:eastAsia="Times New Roman" w:hAnsi="Arial" w:cs="Arial"/>
          <w:color w:val="000000"/>
          <w:sz w:val="19"/>
          <w:szCs w:val="19"/>
          <w:lang w:eastAsia="fr-FR"/>
        </w:rPr>
        <w:br/>
        <w:t>13° Après l'article 8, il est inséré un article 8-1 ainsi rédigé :</w:t>
      </w:r>
      <w:r w:rsidRPr="00874A27">
        <w:rPr>
          <w:rFonts w:ascii="Arial" w:eastAsia="Times New Roman" w:hAnsi="Arial" w:cs="Arial"/>
          <w:color w:val="000000"/>
          <w:sz w:val="19"/>
          <w:szCs w:val="19"/>
          <w:lang w:eastAsia="fr-FR"/>
        </w:rPr>
        <w:br/>
        <w:t>« Art. 8-1.-I. ― La colocation est définie comme la location d'un même logement par plusieurs locataires, constituant leur résidence principale, et formalisée par la conclusion d'un contrat unique ou de plusieurs contrats entre les locataires et le bailleur.</w:t>
      </w:r>
      <w:r w:rsidRPr="00874A27">
        <w:rPr>
          <w:rFonts w:ascii="Arial" w:eastAsia="Times New Roman" w:hAnsi="Arial" w:cs="Arial"/>
          <w:color w:val="000000"/>
          <w:sz w:val="19"/>
          <w:szCs w:val="19"/>
          <w:lang w:eastAsia="fr-FR"/>
        </w:rPr>
        <w:br/>
        <w:t xml:space="preserve">« II. ― Lorsque la colocation est formalisée par la conclusion de plusieurs contrats entre les locataires </w:t>
      </w:r>
      <w:r w:rsidRPr="00874A27">
        <w:rPr>
          <w:rFonts w:ascii="Arial" w:eastAsia="Times New Roman" w:hAnsi="Arial" w:cs="Arial"/>
          <w:color w:val="000000"/>
          <w:sz w:val="19"/>
          <w:szCs w:val="19"/>
          <w:lang w:eastAsia="fr-FR"/>
        </w:rPr>
        <w:lastRenderedPageBreak/>
        <w:t>et le bailleur, elle constitue une division du logement tenue au respect des articles </w:t>
      </w:r>
      <w:hyperlink r:id="rId25" w:history="1">
        <w:r w:rsidRPr="00874A27">
          <w:rPr>
            <w:rFonts w:ascii="Arial" w:eastAsia="Times New Roman" w:hAnsi="Arial" w:cs="Arial"/>
            <w:color w:val="336699"/>
            <w:sz w:val="19"/>
            <w:szCs w:val="19"/>
            <w:u w:val="single"/>
            <w:lang w:eastAsia="fr-FR"/>
          </w:rPr>
          <w:t>L. 111-6-1 </w:t>
        </w:r>
      </w:hyperlink>
      <w:r w:rsidRPr="00874A27">
        <w:rPr>
          <w:rFonts w:ascii="Arial" w:eastAsia="Times New Roman" w:hAnsi="Arial" w:cs="Arial"/>
          <w:color w:val="000000"/>
          <w:sz w:val="19"/>
          <w:szCs w:val="19"/>
          <w:lang w:eastAsia="fr-FR"/>
        </w:rPr>
        <w:t>et L. 111-6-1-1 du code de la construction et de l'habitation.</w:t>
      </w:r>
      <w:r w:rsidRPr="00874A27">
        <w:rPr>
          <w:rFonts w:ascii="Arial" w:eastAsia="Times New Roman" w:hAnsi="Arial" w:cs="Arial"/>
          <w:color w:val="000000"/>
          <w:sz w:val="19"/>
          <w:szCs w:val="19"/>
          <w:lang w:eastAsia="fr-FR"/>
        </w:rPr>
        <w:br/>
        <w:t>« Chaque contrat de bail formalisant une colocation respecte le présent titre Ier ou, s'il concerne un logement loué meublé, le titre Ier bis de la présente loi.</w:t>
      </w:r>
      <w:r w:rsidRPr="00874A27">
        <w:rPr>
          <w:rFonts w:ascii="Arial" w:eastAsia="Times New Roman" w:hAnsi="Arial" w:cs="Arial"/>
          <w:color w:val="000000"/>
          <w:sz w:val="19"/>
          <w:szCs w:val="19"/>
          <w:lang w:eastAsia="fr-FR"/>
        </w:rPr>
        <w:br/>
        <w:t>« Le montant de la somme des loyers perçus de l'ensemble des colocataires ne peut être supérieur au montant du loyer applicable au logement en application des articles 17 ou 25-9. Les articles 17-1 et 17-2 sont applicables.</w:t>
      </w:r>
      <w:r w:rsidRPr="00874A27">
        <w:rPr>
          <w:rFonts w:ascii="Arial" w:eastAsia="Times New Roman" w:hAnsi="Arial" w:cs="Arial"/>
          <w:color w:val="000000"/>
          <w:sz w:val="19"/>
          <w:szCs w:val="19"/>
          <w:lang w:eastAsia="fr-FR"/>
        </w:rPr>
        <w:br/>
        <w:t>« Les normes de peuplement prises en application du </w:t>
      </w:r>
      <w:hyperlink r:id="rId26" w:history="1">
        <w:r w:rsidRPr="00874A27">
          <w:rPr>
            <w:rFonts w:ascii="Arial" w:eastAsia="Times New Roman" w:hAnsi="Arial" w:cs="Arial"/>
            <w:color w:val="336699"/>
            <w:sz w:val="19"/>
            <w:szCs w:val="19"/>
            <w:u w:val="single"/>
            <w:lang w:eastAsia="fr-FR"/>
          </w:rPr>
          <w:t>2° du I de l'article L. 831-3 du code de la sécurité sociale </w:t>
        </w:r>
      </w:hyperlink>
      <w:r w:rsidRPr="00874A27">
        <w:rPr>
          <w:rFonts w:ascii="Arial" w:eastAsia="Times New Roman" w:hAnsi="Arial" w:cs="Arial"/>
          <w:color w:val="000000"/>
          <w:sz w:val="19"/>
          <w:szCs w:val="19"/>
          <w:lang w:eastAsia="fr-FR"/>
        </w:rPr>
        <w:t>s'imposent aux logements loués en colocation.</w:t>
      </w:r>
      <w:r w:rsidRPr="00874A27">
        <w:rPr>
          <w:rFonts w:ascii="Arial" w:eastAsia="Times New Roman" w:hAnsi="Arial" w:cs="Arial"/>
          <w:color w:val="000000"/>
          <w:sz w:val="19"/>
          <w:szCs w:val="19"/>
          <w:lang w:eastAsia="fr-FR"/>
        </w:rPr>
        <w:br/>
        <w:t>« Un décret en Conseil d'Etat adapte aux logements loués en colocation les caractéristiques applicables aux conditions de décence.</w:t>
      </w:r>
      <w:r w:rsidRPr="00874A27">
        <w:rPr>
          <w:rFonts w:ascii="Arial" w:eastAsia="Times New Roman" w:hAnsi="Arial" w:cs="Arial"/>
          <w:color w:val="000000"/>
          <w:sz w:val="19"/>
          <w:szCs w:val="19"/>
          <w:lang w:eastAsia="fr-FR"/>
        </w:rPr>
        <w:br/>
        <w:t>« III. ― Le contrat de bail d'une colocation respecte un contrat type défini par décret en Conseil d'Etat, pris après avis de la Commission nationale de concertation.</w:t>
      </w:r>
      <w:r w:rsidRPr="00874A27">
        <w:rPr>
          <w:rFonts w:ascii="Arial" w:eastAsia="Times New Roman" w:hAnsi="Arial" w:cs="Arial"/>
          <w:color w:val="000000"/>
          <w:sz w:val="19"/>
          <w:szCs w:val="19"/>
          <w:lang w:eastAsia="fr-FR"/>
        </w:rPr>
        <w:br/>
        <w:t>« IV. ― Les parties au contrat de bail d'une colocation peuvent convenir dans le bail de la souscription par le bailleur d'une assurance pour compte récupérable auprès des colocataires dans les conditions prévues au g de l'article 7. Les colocataires peuvent provoquer la résiliation de l'assurance pour compte récupérable dans les conditions fixées au même article.</w:t>
      </w:r>
      <w:r w:rsidRPr="00874A27">
        <w:rPr>
          <w:rFonts w:ascii="Arial" w:eastAsia="Times New Roman" w:hAnsi="Arial" w:cs="Arial"/>
          <w:color w:val="000000"/>
          <w:sz w:val="19"/>
          <w:szCs w:val="19"/>
          <w:lang w:eastAsia="fr-FR"/>
        </w:rPr>
        <w:br/>
        <w:t>« V. ― Les charges locatives accessoires au loyer principal d'un contrat de bail d'une colocation sont récupérées par le bailleur au choix des parties comme prévu par ce contrat :</w:t>
      </w:r>
      <w:r w:rsidRPr="00874A27">
        <w:rPr>
          <w:rFonts w:ascii="Arial" w:eastAsia="Times New Roman" w:hAnsi="Arial" w:cs="Arial"/>
          <w:color w:val="000000"/>
          <w:sz w:val="19"/>
          <w:szCs w:val="19"/>
          <w:lang w:eastAsia="fr-FR"/>
        </w:rPr>
        <w:br/>
        <w:t>« 1° Soit dans les conditions prévues à l'article 23, lorsqu'il s'agit de provisions pour charges ;</w:t>
      </w:r>
      <w:r w:rsidRPr="00874A27">
        <w:rPr>
          <w:rFonts w:ascii="Arial" w:eastAsia="Times New Roman" w:hAnsi="Arial" w:cs="Arial"/>
          <w:color w:val="000000"/>
          <w:sz w:val="19"/>
          <w:szCs w:val="19"/>
          <w:lang w:eastAsia="fr-FR"/>
        </w:rPr>
        <w:br/>
        <w:t>« 2° Soit sous la forme d'un forfait versé simultanément au loyer, dont le montant et la périodicité de versement sont définis dans le contrat et qui ne peut donner lieu à complément ou à régularisation ultérieure. Le montant du forfait de charges est fixé en fonction des montants exigibles par le bailleur en application de l'article 23 et peut être révisé chaque année aux mêmes conditions que le loyer principal. Ce montant ne doit pas être manifestement disproportionné au regard des charges dont le locataire ou, le cas échéant, le précédent locataire se serait acquitté.</w:t>
      </w:r>
      <w:r w:rsidRPr="00874A27">
        <w:rPr>
          <w:rFonts w:ascii="Arial" w:eastAsia="Times New Roman" w:hAnsi="Arial" w:cs="Arial"/>
          <w:color w:val="000000"/>
          <w:sz w:val="19"/>
          <w:szCs w:val="19"/>
          <w:lang w:eastAsia="fr-FR"/>
        </w:rPr>
        <w:br/>
        <w:t>« VI. ― La solidarité d'un des colocataires et celle de la personne qui s'est portée caution pour lui prennent fin à la date d'effet du congé régulièrement délivré et lorsqu'un nouveau colocataire figure au bail. A défaut, la solidarité du colocataire sortant s'éteint au plus tard à l'expiration d'un délai de six mois après la date d'effet du congé.</w:t>
      </w:r>
      <w:r w:rsidRPr="00874A27">
        <w:rPr>
          <w:rFonts w:ascii="Arial" w:eastAsia="Times New Roman" w:hAnsi="Arial" w:cs="Arial"/>
          <w:color w:val="000000"/>
          <w:sz w:val="19"/>
          <w:szCs w:val="19"/>
          <w:lang w:eastAsia="fr-FR"/>
        </w:rPr>
        <w:br/>
        <w:t>« L'acte de cautionnement des obligations d'un ou de plusieurs colocataires résultant de la conclusion d'un contrat de bail d'une colocation identifie nécessairement, sous peine de nullité, le colocataire pour lequel le congé met fin à l'engagement de la caution. »</w:t>
      </w:r>
      <w:r w:rsidRPr="00874A27">
        <w:rPr>
          <w:rFonts w:ascii="Arial" w:eastAsia="Times New Roman" w:hAnsi="Arial" w:cs="Arial"/>
          <w:color w:val="000000"/>
          <w:sz w:val="19"/>
          <w:szCs w:val="19"/>
          <w:lang w:eastAsia="fr-FR"/>
        </w:rPr>
        <w:br/>
        <w:t>II. ― La même loi est ainsi modifiée :</w:t>
      </w:r>
      <w:r w:rsidRPr="00874A27">
        <w:rPr>
          <w:rFonts w:ascii="Arial" w:eastAsia="Times New Roman" w:hAnsi="Arial" w:cs="Arial"/>
          <w:color w:val="000000"/>
          <w:sz w:val="19"/>
          <w:szCs w:val="19"/>
          <w:lang w:eastAsia="fr-FR"/>
        </w:rPr>
        <w:br/>
        <w:t>1° Le k de l'article 4 est ainsi modifié :</w:t>
      </w:r>
      <w:r w:rsidRPr="00874A27">
        <w:rPr>
          <w:rFonts w:ascii="Arial" w:eastAsia="Times New Roman" w:hAnsi="Arial" w:cs="Arial"/>
          <w:color w:val="000000"/>
          <w:sz w:val="19"/>
          <w:szCs w:val="19"/>
          <w:lang w:eastAsia="fr-FR"/>
        </w:rPr>
        <w:br/>
        <w:t>a) Après le mot : « lieux », sont insérés les mots : « de sortie » ;</w:t>
      </w:r>
      <w:r w:rsidRPr="00874A27">
        <w:rPr>
          <w:rFonts w:ascii="Arial" w:eastAsia="Times New Roman" w:hAnsi="Arial" w:cs="Arial"/>
          <w:color w:val="000000"/>
          <w:sz w:val="19"/>
          <w:szCs w:val="19"/>
          <w:lang w:eastAsia="fr-FR"/>
        </w:rPr>
        <w:br/>
        <w:t>b) A la fin, la référence : « 3 » est remplacée par la référence : « 3-2 » ;</w:t>
      </w:r>
      <w:r w:rsidRPr="00874A27">
        <w:rPr>
          <w:rFonts w:ascii="Arial" w:eastAsia="Times New Roman" w:hAnsi="Arial" w:cs="Arial"/>
          <w:color w:val="000000"/>
          <w:sz w:val="19"/>
          <w:szCs w:val="19"/>
          <w:lang w:eastAsia="fr-FR"/>
        </w:rPr>
        <w:br/>
        <w:t>2° Le 1° de l'article 43 est ainsi rédigé :</w:t>
      </w:r>
      <w:r w:rsidRPr="00874A27">
        <w:rPr>
          <w:rFonts w:ascii="Arial" w:eastAsia="Times New Roman" w:hAnsi="Arial" w:cs="Arial"/>
          <w:color w:val="000000"/>
          <w:sz w:val="19"/>
          <w:szCs w:val="19"/>
          <w:lang w:eastAsia="fr-FR"/>
        </w:rPr>
        <w:br/>
        <w:t>« 1° Les 1° et 2° et le dernier alinéa de l'article 3-3 sont applicables à compter du 1er janvier 2015 ; ».</w:t>
      </w:r>
      <w:r w:rsidRPr="00874A27">
        <w:rPr>
          <w:rFonts w:ascii="Arial" w:eastAsia="Times New Roman" w:hAnsi="Arial" w:cs="Arial"/>
          <w:color w:val="000000"/>
          <w:sz w:val="19"/>
          <w:szCs w:val="19"/>
          <w:lang w:eastAsia="fr-FR"/>
        </w:rPr>
        <w:br/>
        <w:t>III. ― Après l'article 10 de la loi n° 75-1351 du 31 décembre 1975 relative à la protection des occupants de locaux d'habitation, il est inséré un article 10-1 A ainsi rédigé :</w:t>
      </w:r>
      <w:r w:rsidRPr="00874A27">
        <w:rPr>
          <w:rFonts w:ascii="Arial" w:eastAsia="Times New Roman" w:hAnsi="Arial" w:cs="Arial"/>
          <w:color w:val="000000"/>
          <w:sz w:val="19"/>
          <w:szCs w:val="19"/>
          <w:lang w:eastAsia="fr-FR"/>
        </w:rPr>
        <w:br/>
        <w:t>« Art. 10-1 A.-Quiconque exécute ou fait exécuter les travaux mentionnés aux deux </w:t>
      </w:r>
      <w:hyperlink r:id="rId27" w:history="1">
        <w:r w:rsidRPr="00874A27">
          <w:rPr>
            <w:rFonts w:ascii="Arial" w:eastAsia="Times New Roman" w:hAnsi="Arial" w:cs="Arial"/>
            <w:color w:val="336699"/>
            <w:sz w:val="19"/>
            <w:szCs w:val="19"/>
            <w:u w:val="single"/>
            <w:lang w:eastAsia="fr-FR"/>
          </w:rPr>
          <w:t>premiers alinéas de l'article 2 de la loi n° 67-561 du 12 juillet 1967 </w:t>
        </w:r>
      </w:hyperlink>
      <w:r w:rsidRPr="00874A27">
        <w:rPr>
          <w:rFonts w:ascii="Arial" w:eastAsia="Times New Roman" w:hAnsi="Arial" w:cs="Arial"/>
          <w:color w:val="000000"/>
          <w:sz w:val="19"/>
          <w:szCs w:val="19"/>
          <w:lang w:eastAsia="fr-FR"/>
        </w:rPr>
        <w:t>relative à l'amélioration de l'habitat ou au </w:t>
      </w:r>
      <w:hyperlink r:id="rId28" w:history="1">
        <w:r w:rsidRPr="00874A27">
          <w:rPr>
            <w:rFonts w:ascii="Arial" w:eastAsia="Times New Roman" w:hAnsi="Arial" w:cs="Arial"/>
            <w:color w:val="336699"/>
            <w:sz w:val="19"/>
            <w:szCs w:val="19"/>
            <w:u w:val="single"/>
            <w:lang w:eastAsia="fr-FR"/>
          </w:rPr>
          <w:t>e de l'article 7 de la loi n° 89-462 du 6 juillet 1989 </w:t>
        </w:r>
      </w:hyperlink>
      <w:r w:rsidRPr="00874A27">
        <w:rPr>
          <w:rFonts w:ascii="Arial" w:eastAsia="Times New Roman" w:hAnsi="Arial" w:cs="Arial"/>
          <w:color w:val="000000"/>
          <w:sz w:val="19"/>
          <w:szCs w:val="19"/>
          <w:lang w:eastAsia="fr-FR"/>
        </w:rPr>
        <w:t>tendant à améliorer les rapports locatifs et portant modification de la </w:t>
      </w:r>
      <w:hyperlink r:id="rId29" w:history="1">
        <w:r w:rsidRPr="00874A27">
          <w:rPr>
            <w:rFonts w:ascii="Arial" w:eastAsia="Times New Roman" w:hAnsi="Arial" w:cs="Arial"/>
            <w:color w:val="336699"/>
            <w:sz w:val="19"/>
            <w:szCs w:val="19"/>
            <w:u w:val="single"/>
            <w:lang w:eastAsia="fr-FR"/>
          </w:rPr>
          <w:t>loi n° 86-1290 du 23 décembre 1986 </w:t>
        </w:r>
      </w:hyperlink>
      <w:r w:rsidRPr="00874A27">
        <w:rPr>
          <w:rFonts w:ascii="Arial" w:eastAsia="Times New Roman" w:hAnsi="Arial" w:cs="Arial"/>
          <w:color w:val="000000"/>
          <w:sz w:val="19"/>
          <w:szCs w:val="19"/>
          <w:lang w:eastAsia="fr-FR"/>
        </w:rPr>
        <w:t>sans avoir fait la notification, prévue auxdits articles, ou sans respecter les conditions d'exécution figurant dans la notification ou encore malgré une décision d'interdiction ou d'interruption des travaux prononcée par le juge du tribunal d'instance, statuant par ordonnance de référé, encourt les sanctions prévues à l'</w:t>
      </w:r>
      <w:hyperlink r:id="rId30" w:history="1">
        <w:r w:rsidRPr="00874A27">
          <w:rPr>
            <w:rFonts w:ascii="Arial" w:eastAsia="Times New Roman" w:hAnsi="Arial" w:cs="Arial"/>
            <w:color w:val="336699"/>
            <w:sz w:val="19"/>
            <w:szCs w:val="19"/>
            <w:u w:val="single"/>
            <w:lang w:eastAsia="fr-FR"/>
          </w:rPr>
          <w:t>article L. 480-4 du code de l'urbanisme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Le tribunal peut, en outre, ordonner la remise en état des lieux aux frais du condamné.</w:t>
      </w:r>
      <w:r w:rsidRPr="00874A27">
        <w:rPr>
          <w:rFonts w:ascii="Arial" w:eastAsia="Times New Roman" w:hAnsi="Arial" w:cs="Arial"/>
          <w:color w:val="000000"/>
          <w:sz w:val="19"/>
          <w:szCs w:val="19"/>
          <w:lang w:eastAsia="fr-FR"/>
        </w:rPr>
        <w:br/>
        <w:t>« Les premier, troisième et quatrième alinéas de l'article L. 480-1, les articles </w:t>
      </w:r>
      <w:hyperlink r:id="rId31" w:history="1">
        <w:r w:rsidRPr="00874A27">
          <w:rPr>
            <w:rFonts w:ascii="Arial" w:eastAsia="Times New Roman" w:hAnsi="Arial" w:cs="Arial"/>
            <w:color w:val="336699"/>
            <w:sz w:val="19"/>
            <w:szCs w:val="19"/>
            <w:u w:val="single"/>
            <w:lang w:eastAsia="fr-FR"/>
          </w:rPr>
          <w:t>L. 480-2</w:t>
        </w:r>
      </w:hyperlink>
      <w:r w:rsidRPr="00874A27">
        <w:rPr>
          <w:rFonts w:ascii="Arial" w:eastAsia="Times New Roman" w:hAnsi="Arial" w:cs="Arial"/>
          <w:color w:val="000000"/>
          <w:sz w:val="19"/>
          <w:szCs w:val="19"/>
          <w:lang w:eastAsia="fr-FR"/>
        </w:rPr>
        <w:t>, </w:t>
      </w:r>
      <w:hyperlink r:id="rId32" w:history="1">
        <w:r w:rsidRPr="00874A27">
          <w:rPr>
            <w:rFonts w:ascii="Arial" w:eastAsia="Times New Roman" w:hAnsi="Arial" w:cs="Arial"/>
            <w:color w:val="336699"/>
            <w:sz w:val="19"/>
            <w:szCs w:val="19"/>
            <w:u w:val="single"/>
            <w:lang w:eastAsia="fr-FR"/>
          </w:rPr>
          <w:t>L. 480-3</w:t>
        </w:r>
      </w:hyperlink>
      <w:r w:rsidRPr="00874A27">
        <w:rPr>
          <w:rFonts w:ascii="Arial" w:eastAsia="Times New Roman" w:hAnsi="Arial" w:cs="Arial"/>
          <w:color w:val="000000"/>
          <w:sz w:val="19"/>
          <w:szCs w:val="19"/>
          <w:lang w:eastAsia="fr-FR"/>
        </w:rPr>
        <w:t>, </w:t>
      </w:r>
      <w:hyperlink r:id="rId33" w:history="1">
        <w:r w:rsidRPr="00874A27">
          <w:rPr>
            <w:rFonts w:ascii="Arial" w:eastAsia="Times New Roman" w:hAnsi="Arial" w:cs="Arial"/>
            <w:color w:val="336699"/>
            <w:sz w:val="19"/>
            <w:szCs w:val="19"/>
            <w:u w:val="single"/>
            <w:lang w:eastAsia="fr-FR"/>
          </w:rPr>
          <w:t>L. 480-7</w:t>
        </w:r>
      </w:hyperlink>
      <w:r w:rsidRPr="00874A27">
        <w:rPr>
          <w:rFonts w:ascii="Arial" w:eastAsia="Times New Roman" w:hAnsi="Arial" w:cs="Arial"/>
          <w:color w:val="000000"/>
          <w:sz w:val="19"/>
          <w:szCs w:val="19"/>
          <w:lang w:eastAsia="fr-FR"/>
        </w:rPr>
        <w:t>, </w:t>
      </w:r>
      <w:hyperlink r:id="rId34" w:history="1">
        <w:r w:rsidRPr="00874A27">
          <w:rPr>
            <w:rFonts w:ascii="Arial" w:eastAsia="Times New Roman" w:hAnsi="Arial" w:cs="Arial"/>
            <w:color w:val="336699"/>
            <w:sz w:val="19"/>
            <w:szCs w:val="19"/>
            <w:u w:val="single"/>
            <w:lang w:eastAsia="fr-FR"/>
          </w:rPr>
          <w:t>L. 480-8 </w:t>
        </w:r>
      </w:hyperlink>
      <w:r w:rsidRPr="00874A27">
        <w:rPr>
          <w:rFonts w:ascii="Arial" w:eastAsia="Times New Roman" w:hAnsi="Arial" w:cs="Arial"/>
          <w:color w:val="000000"/>
          <w:sz w:val="19"/>
          <w:szCs w:val="19"/>
          <w:lang w:eastAsia="fr-FR"/>
        </w:rPr>
        <w:t>et </w:t>
      </w:r>
      <w:hyperlink r:id="rId35" w:history="1">
        <w:r w:rsidRPr="00874A27">
          <w:rPr>
            <w:rFonts w:ascii="Arial" w:eastAsia="Times New Roman" w:hAnsi="Arial" w:cs="Arial"/>
            <w:color w:val="336699"/>
            <w:sz w:val="19"/>
            <w:szCs w:val="19"/>
            <w:u w:val="single"/>
            <w:lang w:eastAsia="fr-FR"/>
          </w:rPr>
          <w:t>L. 480-9 </w:t>
        </w:r>
      </w:hyperlink>
      <w:r w:rsidRPr="00874A27">
        <w:rPr>
          <w:rFonts w:ascii="Arial" w:eastAsia="Times New Roman" w:hAnsi="Arial" w:cs="Arial"/>
          <w:color w:val="000000"/>
          <w:sz w:val="19"/>
          <w:szCs w:val="19"/>
          <w:lang w:eastAsia="fr-FR"/>
        </w:rPr>
        <w:t>du code de l'urbanisme sont applicables aux infractions mentionnées au premier alinéa du présent article. »</w:t>
      </w:r>
      <w:r w:rsidRPr="00874A27">
        <w:rPr>
          <w:rFonts w:ascii="Arial" w:eastAsia="Times New Roman" w:hAnsi="Arial" w:cs="Arial"/>
          <w:color w:val="000000"/>
          <w:sz w:val="19"/>
          <w:szCs w:val="19"/>
          <w:lang w:eastAsia="fr-FR"/>
        </w:rPr>
        <w:br/>
        <w:t>IV.-Au premier alinéa de l'article 59 bis de la loi n° 48-1360 du 1er septembre 1948 portant modification et codification de la législation relative aux rapports des bailleurs et locataires ou occupants de locaux d'habitation ou à usage professionnel et instituant des allocations de logement, les mots : « sera puni d'un emprisonnement de deux ans et d'une amende de 4 500 euros » sont remplacés par les mots : « encourt les sanctions prévues à l'</w:t>
      </w:r>
      <w:hyperlink r:id="rId36" w:history="1">
        <w:r w:rsidRPr="00874A27">
          <w:rPr>
            <w:rFonts w:ascii="Arial" w:eastAsia="Times New Roman" w:hAnsi="Arial" w:cs="Arial"/>
            <w:color w:val="336699"/>
            <w:sz w:val="19"/>
            <w:szCs w:val="19"/>
            <w:u w:val="single"/>
            <w:lang w:eastAsia="fr-FR"/>
          </w:rPr>
          <w:t>article L. 480-4 du code de l'urbanisme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V.-Au premier alinéa du II de l'article L. 125-5 du code de l'environnement, la référence : « 3-1 » est remplacée par la référence : « 3-3 ».</w:t>
      </w:r>
      <w:r w:rsidRPr="00874A27">
        <w:rPr>
          <w:rFonts w:ascii="Arial" w:eastAsia="Times New Roman" w:hAnsi="Arial" w:cs="Arial"/>
          <w:color w:val="000000"/>
          <w:sz w:val="19"/>
          <w:szCs w:val="19"/>
          <w:lang w:eastAsia="fr-FR"/>
        </w:rPr>
        <w:br/>
        <w:t>VI.-Au deuxième alinéa de l'article 1724 du code civil, le mot : « quarante » est remplacé par les mots : « vingt et un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 w:name="JORFARTI000028772352"/>
      <w:bookmarkEnd w:id="1"/>
      <w:r w:rsidRPr="00874A27">
        <w:rPr>
          <w:rFonts w:ascii="Arial" w:eastAsia="Times New Roman" w:hAnsi="Arial" w:cs="Arial"/>
          <w:b/>
          <w:bCs/>
          <w:color w:val="000000"/>
          <w:sz w:val="23"/>
          <w:szCs w:val="23"/>
          <w:lang w:eastAsia="fr-FR"/>
        </w:rPr>
        <w:t>Article 2 </w:t>
      </w:r>
      <w:hyperlink r:id="rId37" w:tooltip="En savoir plus sur l'article 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Le Gouvernement remet au Parlement, dans les six mois suivant la promulgation de la présente loi, un rapport sur l'opportunité de réviser le </w:t>
      </w:r>
      <w:hyperlink r:id="rId38" w:history="1">
        <w:r w:rsidRPr="00874A27">
          <w:rPr>
            <w:rFonts w:ascii="Arial" w:eastAsia="Times New Roman" w:hAnsi="Arial" w:cs="Arial"/>
            <w:color w:val="336699"/>
            <w:sz w:val="19"/>
            <w:szCs w:val="19"/>
            <w:u w:val="single"/>
            <w:lang w:eastAsia="fr-FR"/>
          </w:rPr>
          <w:t>décret n° 2002-120 du 30 janvier 2002</w:t>
        </w:r>
      </w:hyperlink>
      <w:r w:rsidRPr="00874A27">
        <w:rPr>
          <w:rFonts w:ascii="Arial" w:eastAsia="Times New Roman" w:hAnsi="Arial" w:cs="Arial"/>
          <w:color w:val="000000"/>
          <w:sz w:val="19"/>
          <w:szCs w:val="19"/>
          <w:lang w:eastAsia="fr-FR"/>
        </w:rPr>
        <w:t> relatif aux caractéristiques du logement décent pris pour l'application de l'</w:t>
      </w:r>
      <w:hyperlink r:id="rId39" w:history="1">
        <w:r w:rsidRPr="00874A27">
          <w:rPr>
            <w:rFonts w:ascii="Arial" w:eastAsia="Times New Roman" w:hAnsi="Arial" w:cs="Arial"/>
            <w:color w:val="336699"/>
            <w:sz w:val="19"/>
            <w:szCs w:val="19"/>
            <w:u w:val="single"/>
            <w:lang w:eastAsia="fr-FR"/>
          </w:rPr>
          <w:t>article 187 de la loi n° 2000-1208 du 13 décembre 2000</w:t>
        </w:r>
      </w:hyperlink>
      <w:r w:rsidRPr="00874A27">
        <w:rPr>
          <w:rFonts w:ascii="Arial" w:eastAsia="Times New Roman" w:hAnsi="Arial" w:cs="Arial"/>
          <w:color w:val="000000"/>
          <w:sz w:val="19"/>
          <w:szCs w:val="19"/>
          <w:lang w:eastAsia="fr-FR"/>
        </w:rPr>
        <w:t> relative à la solidarité et au renouvellement urbains, notamment sur la possibilité d'une évolution de la définition du seuil minimal de surface habitable en deçà duquel un logement est considéré comme indécent et d'une intégration de la performance énergétique parmi les caractéristiques du logement décent.</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2" w:name="JORFARTI000028772355"/>
      <w:bookmarkEnd w:id="2"/>
      <w:r w:rsidRPr="00874A27">
        <w:rPr>
          <w:rFonts w:ascii="Arial" w:eastAsia="Times New Roman" w:hAnsi="Arial" w:cs="Arial"/>
          <w:b/>
          <w:bCs/>
          <w:color w:val="000000"/>
          <w:sz w:val="23"/>
          <w:szCs w:val="23"/>
          <w:lang w:eastAsia="fr-FR"/>
        </w:rPr>
        <w:t>Article 3 </w:t>
      </w:r>
      <w:hyperlink r:id="rId40" w:tooltip="En savoir plus sur l'article 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quatrième alinéa de l'article 2 de la loi n° 2010-238 du 9 mars 2010 visant à rendre obligatoire l'installation de détecteurs de fumée dans tous les lieux d'habitation est ainsi modifié :</w:t>
      </w:r>
      <w:r w:rsidRPr="00874A27">
        <w:rPr>
          <w:rFonts w:ascii="Arial" w:eastAsia="Times New Roman" w:hAnsi="Arial" w:cs="Arial"/>
          <w:color w:val="000000"/>
          <w:sz w:val="19"/>
          <w:szCs w:val="19"/>
          <w:lang w:eastAsia="fr-FR"/>
        </w:rPr>
        <w:br/>
        <w:t>1° La première phrase est ainsi modifiée :</w:t>
      </w:r>
      <w:r w:rsidRPr="00874A27">
        <w:rPr>
          <w:rFonts w:ascii="Arial" w:eastAsia="Times New Roman" w:hAnsi="Arial" w:cs="Arial"/>
          <w:color w:val="000000"/>
          <w:sz w:val="19"/>
          <w:szCs w:val="19"/>
          <w:lang w:eastAsia="fr-FR"/>
        </w:rPr>
        <w:br/>
        <w:t>a) Au début, les mots : « L'occupant d'un logement, qu'il soit locataire ou propriétaire, » sont remplacés par les mots : « Le propriétaire d'un logement » ;</w:t>
      </w:r>
      <w:r w:rsidRPr="00874A27">
        <w:rPr>
          <w:rFonts w:ascii="Arial" w:eastAsia="Times New Roman" w:hAnsi="Arial" w:cs="Arial"/>
          <w:color w:val="000000"/>
          <w:sz w:val="19"/>
          <w:szCs w:val="19"/>
          <w:lang w:eastAsia="fr-FR"/>
        </w:rPr>
        <w:br/>
        <w:t>b) Sont ajoutés les mots : « et s'assure, si le logement est mis en location, de son bon fonctionnement lors de l'établissement de l'état des lieux mentionné à l'</w:t>
      </w:r>
      <w:hyperlink r:id="rId41" w:history="1">
        <w:r w:rsidRPr="00874A27">
          <w:rPr>
            <w:rFonts w:ascii="Arial" w:eastAsia="Times New Roman" w:hAnsi="Arial" w:cs="Arial"/>
            <w:color w:val="336699"/>
            <w:sz w:val="19"/>
            <w:szCs w:val="19"/>
            <w:u w:val="single"/>
            <w:lang w:eastAsia="fr-FR"/>
          </w:rPr>
          <w:t>article 3-2 de la loi n° 89-462 du 6 juillet 1989</w:t>
        </w:r>
      </w:hyperlink>
      <w:r w:rsidRPr="00874A27">
        <w:rPr>
          <w:rFonts w:ascii="Arial" w:eastAsia="Times New Roman" w:hAnsi="Arial" w:cs="Arial"/>
          <w:color w:val="000000"/>
          <w:sz w:val="19"/>
          <w:szCs w:val="19"/>
          <w:lang w:eastAsia="fr-FR"/>
        </w:rPr>
        <w:t> tendant à améliorer les rapports locatifs et portant modification de la </w:t>
      </w:r>
      <w:hyperlink r:id="rId42"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 ;</w:t>
      </w:r>
      <w:r w:rsidRPr="00874A27">
        <w:rPr>
          <w:rFonts w:ascii="Arial" w:eastAsia="Times New Roman" w:hAnsi="Arial" w:cs="Arial"/>
          <w:color w:val="000000"/>
          <w:sz w:val="19"/>
          <w:szCs w:val="19"/>
          <w:lang w:eastAsia="fr-FR"/>
        </w:rPr>
        <w:br/>
        <w:t>2° La seconde phrase est ainsi modifiée :</w:t>
      </w:r>
      <w:r w:rsidRPr="00874A27">
        <w:rPr>
          <w:rFonts w:ascii="Arial" w:eastAsia="Times New Roman" w:hAnsi="Arial" w:cs="Arial"/>
          <w:color w:val="000000"/>
          <w:sz w:val="19"/>
          <w:szCs w:val="19"/>
          <w:lang w:eastAsia="fr-FR"/>
        </w:rPr>
        <w:br/>
        <w:t>a) Au début, le mot : « Il » est remplacé par les mots : « L'occupant d'un logement, qu'il soit locataire ou propriétaire, » ;</w:t>
      </w:r>
      <w:r w:rsidRPr="00874A27">
        <w:rPr>
          <w:rFonts w:ascii="Arial" w:eastAsia="Times New Roman" w:hAnsi="Arial" w:cs="Arial"/>
          <w:color w:val="000000"/>
          <w:sz w:val="19"/>
          <w:szCs w:val="19"/>
          <w:lang w:eastAsia="fr-FR"/>
        </w:rPr>
        <w:br/>
        <w:t>b) Sont ajoutés les mots : « et assure son renouvellement, si nécessaire, tant qu'il occupe le logement ».</w:t>
      </w:r>
      <w:r w:rsidRPr="00874A27">
        <w:rPr>
          <w:rFonts w:ascii="Arial" w:eastAsia="Times New Roman" w:hAnsi="Arial" w:cs="Arial"/>
          <w:color w:val="000000"/>
          <w:sz w:val="19"/>
          <w:szCs w:val="19"/>
          <w:lang w:eastAsia="fr-FR"/>
        </w:rPr>
        <w:br/>
        <w:t>II. - Au second alinéa de l'article 3 de la même loi, les mots : « que l'assuré s'est conformé » sont remplacés par les mots : « qu'il est satisfait ».</w:t>
      </w:r>
      <w:r w:rsidRPr="00874A27">
        <w:rPr>
          <w:rFonts w:ascii="Arial" w:eastAsia="Times New Roman" w:hAnsi="Arial" w:cs="Arial"/>
          <w:color w:val="000000"/>
          <w:sz w:val="19"/>
          <w:szCs w:val="19"/>
          <w:lang w:eastAsia="fr-FR"/>
        </w:rPr>
        <w:br/>
        <w:t>III. - Pour les logements occupés par un locataire au moment de l'entrée en vigueur de l'</w:t>
      </w:r>
      <w:hyperlink r:id="rId43" w:history="1">
        <w:r w:rsidRPr="00874A27">
          <w:rPr>
            <w:rFonts w:ascii="Arial" w:eastAsia="Times New Roman" w:hAnsi="Arial" w:cs="Arial"/>
            <w:color w:val="336699"/>
            <w:sz w:val="19"/>
            <w:szCs w:val="19"/>
            <w:u w:val="single"/>
            <w:lang w:eastAsia="fr-FR"/>
          </w:rPr>
          <w:t>article 1er de la loi n° 2010-238 du 9 mars 2010</w:t>
        </w:r>
      </w:hyperlink>
      <w:r w:rsidRPr="00874A27">
        <w:rPr>
          <w:rFonts w:ascii="Arial" w:eastAsia="Times New Roman" w:hAnsi="Arial" w:cs="Arial"/>
          <w:color w:val="000000"/>
          <w:sz w:val="19"/>
          <w:szCs w:val="19"/>
          <w:lang w:eastAsia="fr-FR"/>
        </w:rPr>
        <w:t> visant à rendre obligatoire l'installation de détecteurs de fumée dans tous les lieux d'habitation, l'obligation d'installation faite au propriétaire est satisfaite par la fourniture d'un détecteur à son locataire ou, s'il le souhaite, par le remboursement au locataire de l'achat du détecteur.</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3" w:name="JORFARTI000028772365"/>
      <w:bookmarkEnd w:id="3"/>
      <w:r w:rsidRPr="00874A27">
        <w:rPr>
          <w:rFonts w:ascii="Arial" w:eastAsia="Times New Roman" w:hAnsi="Arial" w:cs="Arial"/>
          <w:b/>
          <w:bCs/>
          <w:color w:val="000000"/>
          <w:sz w:val="23"/>
          <w:szCs w:val="23"/>
          <w:lang w:eastAsia="fr-FR"/>
        </w:rPr>
        <w:t>Article 4 </w:t>
      </w:r>
      <w:hyperlink r:id="rId44" w:tooltip="En savoir plus sur l'article 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section 1 du chapitre II du titre VIII du livre III du code civil est ainsi modifiée :</w:t>
      </w:r>
      <w:r w:rsidRPr="00874A27">
        <w:rPr>
          <w:rFonts w:ascii="Arial" w:eastAsia="Times New Roman" w:hAnsi="Arial" w:cs="Arial"/>
          <w:color w:val="000000"/>
          <w:sz w:val="19"/>
          <w:szCs w:val="19"/>
          <w:lang w:eastAsia="fr-FR"/>
        </w:rPr>
        <w:br/>
        <w:t>1° L'article 1751 est ainsi modifié :</w:t>
      </w:r>
      <w:r w:rsidRPr="00874A27">
        <w:rPr>
          <w:rFonts w:ascii="Arial" w:eastAsia="Times New Roman" w:hAnsi="Arial" w:cs="Arial"/>
          <w:color w:val="000000"/>
          <w:sz w:val="19"/>
          <w:szCs w:val="19"/>
          <w:lang w:eastAsia="fr-FR"/>
        </w:rPr>
        <w:br/>
        <w:t>a) Après la première occurrence du mot : « époux », la fin du premier alinéa est ainsi rédigée : « , quel que soit leur régime matrimonial et nonobstant toute convention contraire et même si le bail a été conclu avant le mariage, ou de deux partenaires liés par un pacte civil de solidarité, dès lors que les partenaires en font la demande conjointement, est réputé appartenir à l'un et à l'autre des époux ou partenaires liés par un pacte civil de solidarité. » ;</w:t>
      </w:r>
      <w:r w:rsidRPr="00874A27">
        <w:rPr>
          <w:rFonts w:ascii="Arial" w:eastAsia="Times New Roman" w:hAnsi="Arial" w:cs="Arial"/>
          <w:color w:val="000000"/>
          <w:sz w:val="19"/>
          <w:szCs w:val="19"/>
          <w:lang w:eastAsia="fr-FR"/>
        </w:rPr>
        <w:br/>
        <w:t>b) Au dernier alinéa, les mots : « , le conjoint » sont remplacés par les mots : « ou d'un des partenaires liés par un pacte civil de solidarité, le conjoint ou le partenaire lié par un pacte civil de solidarité » ;</w:t>
      </w:r>
      <w:r w:rsidRPr="00874A27">
        <w:rPr>
          <w:rFonts w:ascii="Arial" w:eastAsia="Times New Roman" w:hAnsi="Arial" w:cs="Arial"/>
          <w:color w:val="000000"/>
          <w:sz w:val="19"/>
          <w:szCs w:val="19"/>
          <w:lang w:eastAsia="fr-FR"/>
        </w:rPr>
        <w:br/>
        <w:t>2° Il est ajouté un article 1751-1 ainsi rédigé :</w:t>
      </w:r>
      <w:r w:rsidRPr="00874A27">
        <w:rPr>
          <w:rFonts w:ascii="Arial" w:eastAsia="Times New Roman" w:hAnsi="Arial" w:cs="Arial"/>
          <w:color w:val="000000"/>
          <w:sz w:val="19"/>
          <w:szCs w:val="19"/>
          <w:lang w:eastAsia="fr-FR"/>
        </w:rPr>
        <w:br/>
        <w:t>« Art. 1751-1. - En cas de dissolution du pacte civil de solidarité, l'un des partenaires peut saisir le juge compétent en matière de bail aux fins de se voir attribuer le droit au bail du local, sans caractère professionnel ou commercial, qui sert effectivement à l'habitation des deux partenaires, sous réserve des créances ou droits à indemnité au profit de l'autre partenaire. Le bailleur est appelé à l'instance. Le juge apprécie la demande en considération des intérêts sociaux et familiaux des parties.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4" w:name="JORFARTI000028772370"/>
      <w:bookmarkEnd w:id="4"/>
      <w:r w:rsidRPr="00874A27">
        <w:rPr>
          <w:rFonts w:ascii="Arial" w:eastAsia="Times New Roman" w:hAnsi="Arial" w:cs="Arial"/>
          <w:b/>
          <w:bCs/>
          <w:color w:val="000000"/>
          <w:sz w:val="23"/>
          <w:szCs w:val="23"/>
          <w:lang w:eastAsia="fr-FR"/>
        </w:rPr>
        <w:t>Article 5 </w:t>
      </w:r>
      <w:hyperlink r:id="rId45" w:tooltip="En savoir plus sur l'article 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chapitre II du titre Ier de la loi n° 89-462 du 6 juillet 1989 précitée est ainsi modifié :</w:t>
      </w:r>
      <w:r w:rsidRPr="00874A27">
        <w:rPr>
          <w:rFonts w:ascii="Arial" w:eastAsia="Times New Roman" w:hAnsi="Arial" w:cs="Arial"/>
          <w:color w:val="000000"/>
          <w:sz w:val="19"/>
          <w:szCs w:val="19"/>
          <w:lang w:eastAsia="fr-FR"/>
        </w:rPr>
        <w:br/>
        <w:t>1° A la première phrase du premier alinéa de l'article 11-1, le mot : « dix » est remplacé par le mot : « cinq » ;</w:t>
      </w:r>
      <w:r w:rsidRPr="00874A27">
        <w:rPr>
          <w:rFonts w:ascii="Arial" w:eastAsia="Times New Roman" w:hAnsi="Arial" w:cs="Arial"/>
          <w:color w:val="000000"/>
          <w:sz w:val="19"/>
          <w:szCs w:val="19"/>
          <w:lang w:eastAsia="fr-FR"/>
        </w:rPr>
        <w:br/>
        <w:t>2° Après l'article 11-1, il est inséré un article 11-2 ainsi rédigé :</w:t>
      </w:r>
      <w:r w:rsidRPr="00874A27">
        <w:rPr>
          <w:rFonts w:ascii="Arial" w:eastAsia="Times New Roman" w:hAnsi="Arial" w:cs="Arial"/>
          <w:color w:val="000000"/>
          <w:sz w:val="19"/>
          <w:szCs w:val="19"/>
          <w:lang w:eastAsia="fr-FR"/>
        </w:rPr>
        <w:br/>
        <w:t xml:space="preserve">« Art. 11-2. - Lorsqu'un immeuble indivis ayant cinq locaux d'habitation ou plus est mis en copropriété, </w:t>
      </w:r>
      <w:r w:rsidRPr="00874A27">
        <w:rPr>
          <w:rFonts w:ascii="Arial" w:eastAsia="Times New Roman" w:hAnsi="Arial" w:cs="Arial"/>
          <w:color w:val="000000"/>
          <w:sz w:val="19"/>
          <w:szCs w:val="19"/>
          <w:lang w:eastAsia="fr-FR"/>
        </w:rPr>
        <w:lastRenderedPageBreak/>
        <w:t>les baux en cours sont prorogés de plein droit d'une durée de trois ans de plus que leur durée contractuelle ou légale antérieure, dès lors que l'immeuble est situé dans une des zones mentionnées au I de l'article 17. » ;</w:t>
      </w:r>
      <w:r w:rsidRPr="00874A27">
        <w:rPr>
          <w:rFonts w:ascii="Arial" w:eastAsia="Times New Roman" w:hAnsi="Arial" w:cs="Arial"/>
          <w:color w:val="000000"/>
          <w:sz w:val="19"/>
          <w:szCs w:val="19"/>
          <w:lang w:eastAsia="fr-FR"/>
        </w:rPr>
        <w:br/>
        <w:t>3° A l'article 12, la référence : « au deuxième alinéa du paragraphe I de » est remplacée par le mot : « à » ;</w:t>
      </w:r>
      <w:r w:rsidRPr="00874A27">
        <w:rPr>
          <w:rFonts w:ascii="Arial" w:eastAsia="Times New Roman" w:hAnsi="Arial" w:cs="Arial"/>
          <w:color w:val="000000"/>
          <w:sz w:val="19"/>
          <w:szCs w:val="19"/>
          <w:lang w:eastAsia="fr-FR"/>
        </w:rPr>
        <w:br/>
        <w:t>4° Au troisième alinéa de l'article 14-1, les mots : « comme il est dit aux </w:t>
      </w:r>
      <w:hyperlink r:id="rId46" w:history="1">
        <w:r w:rsidRPr="00874A27">
          <w:rPr>
            <w:rFonts w:ascii="Arial" w:eastAsia="Times New Roman" w:hAnsi="Arial" w:cs="Arial"/>
            <w:color w:val="336699"/>
            <w:sz w:val="19"/>
            <w:szCs w:val="19"/>
            <w:u w:val="single"/>
            <w:lang w:eastAsia="fr-FR"/>
          </w:rPr>
          <w:t>premier et deuxième alinéas de l'article 21 de la loi n° 91-650 du 9 juillet 1991</w:t>
        </w:r>
      </w:hyperlink>
      <w:r w:rsidRPr="00874A27">
        <w:rPr>
          <w:rFonts w:ascii="Arial" w:eastAsia="Times New Roman" w:hAnsi="Arial" w:cs="Arial"/>
          <w:color w:val="000000"/>
          <w:sz w:val="19"/>
          <w:szCs w:val="19"/>
          <w:lang w:eastAsia="fr-FR"/>
        </w:rPr>
        <w:t> portant réforme des procédures civiles d'exécution pour constater » sont remplacés par les mots : « , dans les conditions prévues aux articles L. 142-1 et L. 142-2 du code des procédures civiles d'exécution, à la constatation de » ;</w:t>
      </w:r>
      <w:r w:rsidRPr="00874A27">
        <w:rPr>
          <w:rFonts w:ascii="Arial" w:eastAsia="Times New Roman" w:hAnsi="Arial" w:cs="Arial"/>
          <w:color w:val="000000"/>
          <w:sz w:val="19"/>
          <w:szCs w:val="19"/>
          <w:lang w:eastAsia="fr-FR"/>
        </w:rPr>
        <w:br/>
        <w:t>5° L'article 15 est ainsi modifié :</w:t>
      </w:r>
      <w:r w:rsidRPr="00874A27">
        <w:rPr>
          <w:rFonts w:ascii="Arial" w:eastAsia="Times New Roman" w:hAnsi="Arial" w:cs="Arial"/>
          <w:color w:val="000000"/>
          <w:sz w:val="19"/>
          <w:szCs w:val="19"/>
          <w:lang w:eastAsia="fr-FR"/>
        </w:rPr>
        <w:br/>
        <w:t>a) Le premier alinéa du I est ainsi modifié :</w:t>
      </w:r>
      <w:r w:rsidRPr="00874A27">
        <w:rPr>
          <w:rFonts w:ascii="Arial" w:eastAsia="Times New Roman" w:hAnsi="Arial" w:cs="Arial"/>
          <w:color w:val="000000"/>
          <w:sz w:val="19"/>
          <w:szCs w:val="19"/>
          <w:lang w:eastAsia="fr-FR"/>
        </w:rPr>
        <w:br/>
        <w:t>― A la seconde phrase, après la deuxième occurrence du mot : « reprise », sont insérés les mots : « ainsi que la nature du lien existant entre le bailleur et le bénéficiaire de la reprise » ;</w:t>
      </w:r>
      <w:r w:rsidRPr="00874A27">
        <w:rPr>
          <w:rFonts w:ascii="Arial" w:eastAsia="Times New Roman" w:hAnsi="Arial" w:cs="Arial"/>
          <w:color w:val="000000"/>
          <w:sz w:val="19"/>
          <w:szCs w:val="19"/>
          <w:lang w:eastAsia="fr-FR"/>
        </w:rPr>
        <w:br/>
        <w:t>― Sont ajoutées trois phrases ainsi rédigées :</w:t>
      </w:r>
      <w:r w:rsidRPr="00874A27">
        <w:rPr>
          <w:rFonts w:ascii="Arial" w:eastAsia="Times New Roman" w:hAnsi="Arial" w:cs="Arial"/>
          <w:color w:val="000000"/>
          <w:sz w:val="19"/>
          <w:szCs w:val="19"/>
          <w:lang w:eastAsia="fr-FR"/>
        </w:rPr>
        <w:br/>
        <w:t>« Lorsqu'il donne congé à son locataire pour reprendre le logement, le bailleur justifie du caractère réel et sérieux de sa décision de reprise. Le délai de préavis applicable au congé est de six mois lorsqu'il émane du bailleur. En cas d'acquisition d'un bien occupé, tout congé pour vente n'est autorisé qu'à compter du terme du premier renouvellement du bail en cours et tout congé pour reprise n'est autorisé qu'à compter du terme du bail en cours ou, si le terme du bail intervient moins de deux ans après l'acquisition, après un délai de deux ans. » ;</w:t>
      </w:r>
      <w:r w:rsidRPr="00874A27">
        <w:rPr>
          <w:rFonts w:ascii="Arial" w:eastAsia="Times New Roman" w:hAnsi="Arial" w:cs="Arial"/>
          <w:color w:val="000000"/>
          <w:sz w:val="19"/>
          <w:szCs w:val="19"/>
          <w:lang w:eastAsia="fr-FR"/>
        </w:rPr>
        <w:br/>
        <w:t>b) Après le premier alinéa du I, sont insérés sept alinéas ainsi rédigés :</w:t>
      </w:r>
      <w:r w:rsidRPr="00874A27">
        <w:rPr>
          <w:rFonts w:ascii="Arial" w:eastAsia="Times New Roman" w:hAnsi="Arial" w:cs="Arial"/>
          <w:color w:val="000000"/>
          <w:sz w:val="19"/>
          <w:szCs w:val="19"/>
          <w:lang w:eastAsia="fr-FR"/>
        </w:rPr>
        <w:br/>
        <w:t>« En cas de contestation, le juge peut, même d'office, vérifier la réalité du motif du congé et le respect des obligations prévues au présent article. Il peut notamment déclarer non valide le congé si la non-reconduction du bail n'apparaît pas justifiée par des éléments sérieux et légitimes.</w:t>
      </w:r>
      <w:r w:rsidRPr="00874A27">
        <w:rPr>
          <w:rFonts w:ascii="Arial" w:eastAsia="Times New Roman" w:hAnsi="Arial" w:cs="Arial"/>
          <w:color w:val="000000"/>
          <w:sz w:val="19"/>
          <w:szCs w:val="19"/>
          <w:lang w:eastAsia="fr-FR"/>
        </w:rPr>
        <w:br/>
        <w:t>« Toutefois, la possibilité pour un bailleur de donner congé à un locataire et la durée du bail sont suspendues à compter :</w:t>
      </w:r>
      <w:r w:rsidRPr="00874A27">
        <w:rPr>
          <w:rFonts w:ascii="Arial" w:eastAsia="Times New Roman" w:hAnsi="Arial" w:cs="Arial"/>
          <w:color w:val="000000"/>
          <w:sz w:val="19"/>
          <w:szCs w:val="19"/>
          <w:lang w:eastAsia="fr-FR"/>
        </w:rPr>
        <w:br/>
        <w:t>« a) De la réception de l'avis de tenue de la réunion de la commission départementale compétente en matière d'environnement, de risques sanitaires et technologiques, notifié par le représentant de l'Etat dans le département dans les conditions prévues aux articles </w:t>
      </w:r>
      <w:hyperlink r:id="rId47" w:history="1">
        <w:r w:rsidRPr="00874A27">
          <w:rPr>
            <w:rFonts w:ascii="Arial" w:eastAsia="Times New Roman" w:hAnsi="Arial" w:cs="Arial"/>
            <w:color w:val="336699"/>
            <w:sz w:val="19"/>
            <w:szCs w:val="19"/>
            <w:u w:val="single"/>
            <w:lang w:eastAsia="fr-FR"/>
          </w:rPr>
          <w:t>L. 1331-26</w:t>
        </w:r>
      </w:hyperlink>
      <w:r w:rsidRPr="00874A27">
        <w:rPr>
          <w:rFonts w:ascii="Arial" w:eastAsia="Times New Roman" w:hAnsi="Arial" w:cs="Arial"/>
          <w:color w:val="000000"/>
          <w:sz w:val="19"/>
          <w:szCs w:val="19"/>
          <w:lang w:eastAsia="fr-FR"/>
        </w:rPr>
        <w:t> et </w:t>
      </w:r>
      <w:hyperlink r:id="rId48" w:history="1">
        <w:r w:rsidRPr="00874A27">
          <w:rPr>
            <w:rFonts w:ascii="Arial" w:eastAsia="Times New Roman" w:hAnsi="Arial" w:cs="Arial"/>
            <w:color w:val="336699"/>
            <w:sz w:val="19"/>
            <w:szCs w:val="19"/>
            <w:u w:val="single"/>
            <w:lang w:eastAsia="fr-FR"/>
          </w:rPr>
          <w:t>L. 1331-27</w:t>
        </w:r>
      </w:hyperlink>
      <w:r w:rsidRPr="00874A27">
        <w:rPr>
          <w:rFonts w:ascii="Arial" w:eastAsia="Times New Roman" w:hAnsi="Arial" w:cs="Arial"/>
          <w:color w:val="000000"/>
          <w:sz w:val="19"/>
          <w:szCs w:val="19"/>
          <w:lang w:eastAsia="fr-FR"/>
        </w:rPr>
        <w:t> du code de la santé publique ;</w:t>
      </w:r>
      <w:r w:rsidRPr="00874A27">
        <w:rPr>
          <w:rFonts w:ascii="Arial" w:eastAsia="Times New Roman" w:hAnsi="Arial" w:cs="Arial"/>
          <w:color w:val="000000"/>
          <w:sz w:val="19"/>
          <w:szCs w:val="19"/>
          <w:lang w:eastAsia="fr-FR"/>
        </w:rPr>
        <w:br/>
        <w:t>« b) De l'engagement par le maire de la procédure contradictoire prévue à l'</w:t>
      </w:r>
      <w:hyperlink r:id="rId49" w:history="1">
        <w:r w:rsidRPr="00874A27">
          <w:rPr>
            <w:rFonts w:ascii="Arial" w:eastAsia="Times New Roman" w:hAnsi="Arial" w:cs="Arial"/>
            <w:color w:val="336699"/>
            <w:sz w:val="19"/>
            <w:szCs w:val="19"/>
            <w:u w:val="single"/>
            <w:lang w:eastAsia="fr-FR"/>
          </w:rPr>
          <w:t>article L. 511-2 du code de la construction et de l'habitation</w:t>
        </w:r>
      </w:hyperlink>
      <w:r w:rsidRPr="00874A27">
        <w:rPr>
          <w:rFonts w:ascii="Arial" w:eastAsia="Times New Roman" w:hAnsi="Arial" w:cs="Arial"/>
          <w:color w:val="000000"/>
          <w:sz w:val="19"/>
          <w:szCs w:val="19"/>
          <w:lang w:eastAsia="fr-FR"/>
        </w:rPr>
        <w:t>, relative aux bâtiments menaçant ruine.</w:t>
      </w:r>
      <w:r w:rsidRPr="00874A27">
        <w:rPr>
          <w:rFonts w:ascii="Arial" w:eastAsia="Times New Roman" w:hAnsi="Arial" w:cs="Arial"/>
          <w:color w:val="000000"/>
          <w:sz w:val="19"/>
          <w:szCs w:val="19"/>
          <w:lang w:eastAsia="fr-FR"/>
        </w:rPr>
        <w:br/>
        <w:t>« Cette suspension est levée à l'expiration d'un délai maximal de six mois à compter de la réception du courrier de l'autorité administrative compétente engageant l'une des procédures mentionnées aux a et b, faute de notification d'un des arrêtés prévus à leur issue ou de leur abandon.</w:t>
      </w:r>
      <w:r w:rsidRPr="00874A27">
        <w:rPr>
          <w:rFonts w:ascii="Arial" w:eastAsia="Times New Roman" w:hAnsi="Arial" w:cs="Arial"/>
          <w:color w:val="000000"/>
          <w:sz w:val="19"/>
          <w:szCs w:val="19"/>
          <w:lang w:eastAsia="fr-FR"/>
        </w:rPr>
        <w:br/>
        <w:t>« Lorsque l'autorité administrative compétente a notifié les arrêtés prévus respectivement aux articles </w:t>
      </w:r>
      <w:hyperlink r:id="rId50" w:history="1">
        <w:r w:rsidRPr="00874A27">
          <w:rPr>
            <w:rFonts w:ascii="Arial" w:eastAsia="Times New Roman" w:hAnsi="Arial" w:cs="Arial"/>
            <w:color w:val="336699"/>
            <w:sz w:val="19"/>
            <w:szCs w:val="19"/>
            <w:u w:val="single"/>
            <w:lang w:eastAsia="fr-FR"/>
          </w:rPr>
          <w:t>L. 1331-25</w:t>
        </w:r>
      </w:hyperlink>
      <w:r w:rsidRPr="00874A27">
        <w:rPr>
          <w:rFonts w:ascii="Arial" w:eastAsia="Times New Roman" w:hAnsi="Arial" w:cs="Arial"/>
          <w:color w:val="000000"/>
          <w:sz w:val="19"/>
          <w:szCs w:val="19"/>
          <w:lang w:eastAsia="fr-FR"/>
        </w:rPr>
        <w:t> et </w:t>
      </w:r>
      <w:hyperlink r:id="rId51" w:history="1">
        <w:r w:rsidRPr="00874A27">
          <w:rPr>
            <w:rFonts w:ascii="Arial" w:eastAsia="Times New Roman" w:hAnsi="Arial" w:cs="Arial"/>
            <w:color w:val="336699"/>
            <w:sz w:val="19"/>
            <w:szCs w:val="19"/>
            <w:u w:val="single"/>
            <w:lang w:eastAsia="fr-FR"/>
          </w:rPr>
          <w:t>L. 1331-28</w:t>
        </w:r>
      </w:hyperlink>
      <w:r w:rsidRPr="00874A27">
        <w:rPr>
          <w:rFonts w:ascii="Arial" w:eastAsia="Times New Roman" w:hAnsi="Arial" w:cs="Arial"/>
          <w:color w:val="000000"/>
          <w:sz w:val="19"/>
          <w:szCs w:val="19"/>
          <w:lang w:eastAsia="fr-FR"/>
        </w:rPr>
        <w:t> du code de la santé publique ou à l'</w:t>
      </w:r>
      <w:hyperlink r:id="rId52" w:history="1">
        <w:r w:rsidRPr="00874A27">
          <w:rPr>
            <w:rFonts w:ascii="Arial" w:eastAsia="Times New Roman" w:hAnsi="Arial" w:cs="Arial"/>
            <w:color w:val="336699"/>
            <w:sz w:val="19"/>
            <w:szCs w:val="19"/>
            <w:u w:val="single"/>
            <w:lang w:eastAsia="fr-FR"/>
          </w:rPr>
          <w:t>article L. 511-2 du code de la construction et de l'habitation</w:t>
        </w:r>
      </w:hyperlink>
      <w:r w:rsidRPr="00874A27">
        <w:rPr>
          <w:rFonts w:ascii="Arial" w:eastAsia="Times New Roman" w:hAnsi="Arial" w:cs="Arial"/>
          <w:color w:val="000000"/>
          <w:sz w:val="19"/>
          <w:szCs w:val="19"/>
          <w:lang w:eastAsia="fr-FR"/>
        </w:rPr>
        <w:t>, il est fait application des articles L. 521-1 et L. 521-2 du même code.</w:t>
      </w:r>
      <w:r w:rsidRPr="00874A27">
        <w:rPr>
          <w:rFonts w:ascii="Arial" w:eastAsia="Times New Roman" w:hAnsi="Arial" w:cs="Arial"/>
          <w:color w:val="000000"/>
          <w:sz w:val="19"/>
          <w:szCs w:val="19"/>
          <w:lang w:eastAsia="fr-FR"/>
        </w:rPr>
        <w:br/>
        <w:t>« Une notice d'information relative aux obligations du bailleur et aux voies de recours et d'indemnisation du locataire est jointe au congé délivré par le bailleur en raison de sa décision de reprendre ou de vendre le logement. Un arrêté du ministre chargé du logement, pris après avis de la Commission nationale de concertation, détermine le contenu de cette notice. » ;</w:t>
      </w:r>
      <w:r w:rsidRPr="00874A27">
        <w:rPr>
          <w:rFonts w:ascii="Arial" w:eastAsia="Times New Roman" w:hAnsi="Arial" w:cs="Arial"/>
          <w:color w:val="000000"/>
          <w:sz w:val="19"/>
          <w:szCs w:val="19"/>
          <w:lang w:eastAsia="fr-FR"/>
        </w:rPr>
        <w:br/>
        <w:t>c) Le deuxième alinéa du même I est remplacé par neuf alinéas ainsi rédigés :</w:t>
      </w:r>
      <w:r w:rsidRPr="00874A27">
        <w:rPr>
          <w:rFonts w:ascii="Arial" w:eastAsia="Times New Roman" w:hAnsi="Arial" w:cs="Arial"/>
          <w:color w:val="000000"/>
          <w:sz w:val="19"/>
          <w:szCs w:val="19"/>
          <w:lang w:eastAsia="fr-FR"/>
        </w:rPr>
        <w:br/>
        <w:t>« Lorsqu'il émane du locataire, le délai de préavis applicable au congé est de trois mois.</w:t>
      </w:r>
      <w:r w:rsidRPr="00874A27">
        <w:rPr>
          <w:rFonts w:ascii="Arial" w:eastAsia="Times New Roman" w:hAnsi="Arial" w:cs="Arial"/>
          <w:color w:val="000000"/>
          <w:sz w:val="19"/>
          <w:szCs w:val="19"/>
          <w:lang w:eastAsia="fr-FR"/>
        </w:rPr>
        <w:br/>
        <w:t>« Le délai de préavis est toutefois d'un mois :</w:t>
      </w:r>
      <w:r w:rsidRPr="00874A27">
        <w:rPr>
          <w:rFonts w:ascii="Arial" w:eastAsia="Times New Roman" w:hAnsi="Arial" w:cs="Arial"/>
          <w:color w:val="000000"/>
          <w:sz w:val="19"/>
          <w:szCs w:val="19"/>
          <w:lang w:eastAsia="fr-FR"/>
        </w:rPr>
        <w:br/>
        <w:t>« 1° Sur les territoires mentionnés au premier alinéa du I de l'article 17 ;</w:t>
      </w:r>
      <w:r w:rsidRPr="00874A27">
        <w:rPr>
          <w:rFonts w:ascii="Arial" w:eastAsia="Times New Roman" w:hAnsi="Arial" w:cs="Arial"/>
          <w:color w:val="000000"/>
          <w:sz w:val="19"/>
          <w:szCs w:val="19"/>
          <w:lang w:eastAsia="fr-FR"/>
        </w:rPr>
        <w:br/>
        <w:t>« 2° En cas d'obtention d'un premier emploi, de mutation, de perte d'emploi ou de nouvel emploi consécutif à une perte d'emploi ;</w:t>
      </w:r>
      <w:r w:rsidRPr="00874A27">
        <w:rPr>
          <w:rFonts w:ascii="Arial" w:eastAsia="Times New Roman" w:hAnsi="Arial" w:cs="Arial"/>
          <w:color w:val="000000"/>
          <w:sz w:val="19"/>
          <w:szCs w:val="19"/>
          <w:lang w:eastAsia="fr-FR"/>
        </w:rPr>
        <w:br/>
        <w:t>« 3° Pour le locataire dont l'état de santé, constaté par un certificat médical, justifie un changement de domicile ;</w:t>
      </w:r>
      <w:r w:rsidRPr="00874A27">
        <w:rPr>
          <w:rFonts w:ascii="Arial" w:eastAsia="Times New Roman" w:hAnsi="Arial" w:cs="Arial"/>
          <w:color w:val="000000"/>
          <w:sz w:val="19"/>
          <w:szCs w:val="19"/>
          <w:lang w:eastAsia="fr-FR"/>
        </w:rPr>
        <w:br/>
        <w:t>« 4° Pour les bénéficiaires du revenu de solidarité active ou de l'allocation adulte handicapé ;</w:t>
      </w:r>
      <w:r w:rsidRPr="00874A27">
        <w:rPr>
          <w:rFonts w:ascii="Arial" w:eastAsia="Times New Roman" w:hAnsi="Arial" w:cs="Arial"/>
          <w:color w:val="000000"/>
          <w:sz w:val="19"/>
          <w:szCs w:val="19"/>
          <w:lang w:eastAsia="fr-FR"/>
        </w:rPr>
        <w:br/>
        <w:t>« 5° Pour le locataire qui s'est vu attribuer un logement défini à l'</w:t>
      </w:r>
      <w:hyperlink r:id="rId53" w:history="1">
        <w:r w:rsidRPr="00874A27">
          <w:rPr>
            <w:rFonts w:ascii="Arial" w:eastAsia="Times New Roman" w:hAnsi="Arial" w:cs="Arial"/>
            <w:color w:val="336699"/>
            <w:sz w:val="19"/>
            <w:szCs w:val="19"/>
            <w:u w:val="single"/>
            <w:lang w:eastAsia="fr-FR"/>
          </w:rPr>
          <w:t>article L. 351-2 du code de la construction et de l'habitation</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Le locataire souhaitant bénéficier des délais réduits de préavis mentionnés aux 1° à 5° précise le motif invoqué et le justifie au moment de l'envoi de la lettre de congé. A défaut, le délai de préavis applicable à ce congé est de trois mois.</w:t>
      </w:r>
      <w:r w:rsidRPr="00874A27">
        <w:rPr>
          <w:rFonts w:ascii="Arial" w:eastAsia="Times New Roman" w:hAnsi="Arial" w:cs="Arial"/>
          <w:color w:val="000000"/>
          <w:sz w:val="19"/>
          <w:szCs w:val="19"/>
          <w:lang w:eastAsia="fr-FR"/>
        </w:rPr>
        <w:br/>
        <w:t>« Le congé doit être notifié par lettre recommandée avec demande d'avis de réception, signifié par acte d'huissier ou remis en main propre contre récépissé ou émargement. Ce délai court à compter du jour de la réception de la lettre recommandée, de la signification de l'acte d'huissier ou de la remise en main propre. » ;</w:t>
      </w:r>
      <w:r w:rsidRPr="00874A27">
        <w:rPr>
          <w:rFonts w:ascii="Arial" w:eastAsia="Times New Roman" w:hAnsi="Arial" w:cs="Arial"/>
          <w:color w:val="000000"/>
          <w:sz w:val="19"/>
          <w:szCs w:val="19"/>
          <w:lang w:eastAsia="fr-FR"/>
        </w:rPr>
        <w:br/>
        <w:t>d) Au septième alinéa du II, le mot : « quatrième » est remplacé par le mot : « troisième » ;</w:t>
      </w:r>
      <w:r w:rsidRPr="00874A27">
        <w:rPr>
          <w:rFonts w:ascii="Arial" w:eastAsia="Times New Roman" w:hAnsi="Arial" w:cs="Arial"/>
          <w:color w:val="000000"/>
          <w:sz w:val="19"/>
          <w:szCs w:val="19"/>
          <w:lang w:eastAsia="fr-FR"/>
        </w:rPr>
        <w:br/>
        <w:t>e) Le premier alinéa du III est ainsi modifié :</w:t>
      </w:r>
      <w:r w:rsidRPr="00874A27">
        <w:rPr>
          <w:rFonts w:ascii="Arial" w:eastAsia="Times New Roman" w:hAnsi="Arial" w:cs="Arial"/>
          <w:color w:val="000000"/>
          <w:sz w:val="19"/>
          <w:szCs w:val="19"/>
          <w:lang w:eastAsia="fr-FR"/>
        </w:rPr>
        <w:br/>
        <w:t xml:space="preserve">― les mots : « plus de soixante-dix ans et dont les ressources annuelles sont inférieures à une fois et demie le montant annuel du salaire minimum de croissance » sont remplacés par les mots : « plus de </w:t>
      </w:r>
      <w:r w:rsidRPr="00874A27">
        <w:rPr>
          <w:rFonts w:ascii="Arial" w:eastAsia="Times New Roman" w:hAnsi="Arial" w:cs="Arial"/>
          <w:color w:val="000000"/>
          <w:sz w:val="19"/>
          <w:szCs w:val="19"/>
          <w:lang w:eastAsia="fr-FR"/>
        </w:rPr>
        <w:lastRenderedPageBreak/>
        <w:t>soixante-cinq ans et dont les ressources annuelles sont inférieures à un plafond de ressources en vigueur pour l'attribution des logements locatifs conventionnés fixé par arrêté du ministre chargé du logement » ;</w:t>
      </w:r>
      <w:r w:rsidRPr="00874A27">
        <w:rPr>
          <w:rFonts w:ascii="Arial" w:eastAsia="Times New Roman" w:hAnsi="Arial" w:cs="Arial"/>
          <w:color w:val="000000"/>
          <w:sz w:val="19"/>
          <w:szCs w:val="19"/>
          <w:lang w:eastAsia="fr-FR"/>
        </w:rPr>
        <w:br/>
        <w:t>― [Dispositions déclarées non conformes à la Constitution par la décision du Conseil constitutionnel n° 2014-691 DC du 20 mars 2014] ;</w:t>
      </w:r>
      <w:r w:rsidRPr="00874A27">
        <w:rPr>
          <w:rFonts w:ascii="Arial" w:eastAsia="Times New Roman" w:hAnsi="Arial" w:cs="Arial"/>
          <w:color w:val="000000"/>
          <w:sz w:val="19"/>
          <w:szCs w:val="19"/>
          <w:lang w:eastAsia="fr-FR"/>
        </w:rPr>
        <w:br/>
        <w:t>f) Au deuxième alinéa du même III, les mots : « soixante ans ou si ses ressources annuelles sont inférieures à une fois et demie le montant annuel du salaire minimum de croissance » sont remplacés par les mots : « soixante-cinq ans ou si ses ressources annuelles sont inférieures au plafond de ressources mentionné au premier alinéa » ;</w:t>
      </w:r>
      <w:r w:rsidRPr="00874A27">
        <w:rPr>
          <w:rFonts w:ascii="Arial" w:eastAsia="Times New Roman" w:hAnsi="Arial" w:cs="Arial"/>
          <w:color w:val="000000"/>
          <w:sz w:val="19"/>
          <w:szCs w:val="19"/>
          <w:lang w:eastAsia="fr-FR"/>
        </w:rPr>
        <w:br/>
        <w:t>g) [Dispositions déclarées non conformes à la Constitution par la décision du Conseil constitutionnel n° 2014-691 DC du 20 mars 2014] ;</w:t>
      </w:r>
      <w:r w:rsidRPr="00874A27">
        <w:rPr>
          <w:rFonts w:ascii="Arial" w:eastAsia="Times New Roman" w:hAnsi="Arial" w:cs="Arial"/>
          <w:color w:val="000000"/>
          <w:sz w:val="19"/>
          <w:szCs w:val="19"/>
          <w:lang w:eastAsia="fr-FR"/>
        </w:rPr>
        <w:br/>
        <w:t>h) Il est ajouté un IV ainsi rédigé :</w:t>
      </w:r>
      <w:r w:rsidRPr="00874A27">
        <w:rPr>
          <w:rFonts w:ascii="Arial" w:eastAsia="Times New Roman" w:hAnsi="Arial" w:cs="Arial"/>
          <w:color w:val="000000"/>
          <w:sz w:val="19"/>
          <w:szCs w:val="19"/>
          <w:lang w:eastAsia="fr-FR"/>
        </w:rPr>
        <w:br/>
        <w:t>« IV. ― Le fait pour un bailleur de délivrer un congé justifié frauduleusement par sa décision de reprendre ou de vendre le logement est puni d'une amende pénale dont le montant ne peut être supérieur à 6 000 € pour une personne physique et à 30 000 € pour une personne morale.</w:t>
      </w:r>
      <w:r w:rsidRPr="00874A27">
        <w:rPr>
          <w:rFonts w:ascii="Arial" w:eastAsia="Times New Roman" w:hAnsi="Arial" w:cs="Arial"/>
          <w:color w:val="000000"/>
          <w:sz w:val="19"/>
          <w:szCs w:val="19"/>
          <w:lang w:eastAsia="fr-FR"/>
        </w:rPr>
        <w:br/>
        <w:t>« Le montant de l'amende est proportionné à la gravité des faits constatés. Le locataire est recevable dans sa constitution de partie civile et la demande de réparation de son préjudice. »</w:t>
      </w:r>
      <w:r w:rsidRPr="00874A27">
        <w:rPr>
          <w:rFonts w:ascii="Arial" w:eastAsia="Times New Roman" w:hAnsi="Arial" w:cs="Arial"/>
          <w:color w:val="000000"/>
          <w:sz w:val="19"/>
          <w:szCs w:val="19"/>
          <w:lang w:eastAsia="fr-FR"/>
        </w:rPr>
        <w:br/>
        <w:t>II. - La loi n° 75-1351 du 31 décembre 1975 relative à la protection des occupants de locaux à usage d'habitation est ainsi modifiée :</w:t>
      </w:r>
      <w:r w:rsidRPr="00874A27">
        <w:rPr>
          <w:rFonts w:ascii="Arial" w:eastAsia="Times New Roman" w:hAnsi="Arial" w:cs="Arial"/>
          <w:color w:val="000000"/>
          <w:sz w:val="19"/>
          <w:szCs w:val="19"/>
          <w:lang w:eastAsia="fr-FR"/>
        </w:rPr>
        <w:br/>
        <w:t>1° L'article 10 est ainsi modifié :</w:t>
      </w:r>
      <w:r w:rsidRPr="00874A27">
        <w:rPr>
          <w:rFonts w:ascii="Arial" w:eastAsia="Times New Roman" w:hAnsi="Arial" w:cs="Arial"/>
          <w:color w:val="000000"/>
          <w:sz w:val="19"/>
          <w:szCs w:val="19"/>
          <w:lang w:eastAsia="fr-FR"/>
        </w:rPr>
        <w:br/>
        <w:t>a) Le I est complété par deux alinéas ainsi rédigés :</w:t>
      </w:r>
      <w:r w:rsidRPr="00874A27">
        <w:rPr>
          <w:rFonts w:ascii="Arial" w:eastAsia="Times New Roman" w:hAnsi="Arial" w:cs="Arial"/>
          <w:color w:val="000000"/>
          <w:sz w:val="19"/>
          <w:szCs w:val="19"/>
          <w:lang w:eastAsia="fr-FR"/>
        </w:rPr>
        <w:br/>
        <w:t>« En cas d'absence d'acceptation par un des locataires ou occupants de bonne foi des offres de vente mentionnées aux premier et troisième alinéas, le bailleur communique sans délai au maire de la commune sur le territoire de laquelle est situé l'immeuble le prix et les conditions de la vente de l'ensemble des locaux pour lesquels il n'y a pas eu acceptation de ces offres de vente. A défaut, toute vente à un autre acquéreur est réputée nulle.</w:t>
      </w:r>
      <w:r w:rsidRPr="00874A27">
        <w:rPr>
          <w:rFonts w:ascii="Arial" w:eastAsia="Times New Roman" w:hAnsi="Arial" w:cs="Arial"/>
          <w:color w:val="000000"/>
          <w:sz w:val="19"/>
          <w:szCs w:val="19"/>
          <w:lang w:eastAsia="fr-FR"/>
        </w:rPr>
        <w:br/>
        <w:t>« La commune dispose alors, pour assurer le maintien dans les lieux des locataires, d'un délai de deux mois à compter de cette notification pour décider d'acquérir le ou les logements au prix déclaré ou proposer de les acquérir à un prix inférieur. A défaut d'accord amiable, le prix d'acquisition est fixé par la juridiction compétente en matière d'expropriation ; ce prix est exclusif de toute indemnité accessoire, notamment de l'indemnité de réemploi. Le prix est fixé, payé ou, le cas échéant, consigné selon les règles applicables en matière d'expropriation. En cas d'acquisition, la commune règle le prix au plus tard six mois après sa décision d'acquérir le bien au prix demandé, la décision définitive de la juridiction ou la date de l'acte ou du jugement d'adjudication. En l'absence de paiement ou, s'il y a obstacle au paiement, de consignation de la somme due à l'expiration du délai de six mois prévu au présent alinéa, le propriétaire reprend la libre disposition de son bien. » ;</w:t>
      </w:r>
      <w:r w:rsidRPr="00874A27">
        <w:rPr>
          <w:rFonts w:ascii="Arial" w:eastAsia="Times New Roman" w:hAnsi="Arial" w:cs="Arial"/>
          <w:color w:val="000000"/>
          <w:sz w:val="19"/>
          <w:szCs w:val="19"/>
          <w:lang w:eastAsia="fr-FR"/>
        </w:rPr>
        <w:br/>
        <w:t>b) Le III est complété par une phrase ainsi rédigée :</w:t>
      </w:r>
      <w:r w:rsidRPr="00874A27">
        <w:rPr>
          <w:rFonts w:ascii="Arial" w:eastAsia="Times New Roman" w:hAnsi="Arial" w:cs="Arial"/>
          <w:color w:val="000000"/>
          <w:sz w:val="19"/>
          <w:szCs w:val="19"/>
          <w:lang w:eastAsia="fr-FR"/>
        </w:rPr>
        <w:br/>
        <w:t>« Il ne s'applique ni aux ventes d'un ou de plusieurs locaux à usage d'habitation ou à usage mixte d'habitation et professionnel d'un même immeuble à un organisme mentionné à l'</w:t>
      </w:r>
      <w:hyperlink r:id="rId54" w:history="1">
        <w:r w:rsidRPr="00874A27">
          <w:rPr>
            <w:rFonts w:ascii="Arial" w:eastAsia="Times New Roman" w:hAnsi="Arial" w:cs="Arial"/>
            <w:color w:val="336699"/>
            <w:sz w:val="19"/>
            <w:szCs w:val="19"/>
            <w:u w:val="single"/>
            <w:lang w:eastAsia="fr-FR"/>
          </w:rPr>
          <w:t>article L. 411-2 du code de la construction et de l'habitation</w:t>
        </w:r>
      </w:hyperlink>
      <w:r w:rsidRPr="00874A27">
        <w:rPr>
          <w:rFonts w:ascii="Arial" w:eastAsia="Times New Roman" w:hAnsi="Arial" w:cs="Arial"/>
          <w:color w:val="000000"/>
          <w:sz w:val="19"/>
          <w:szCs w:val="19"/>
          <w:lang w:eastAsia="fr-FR"/>
        </w:rPr>
        <w:t>, ni, pour les logements faisant l'objet de conventions conclues en application de l'article L. 351-2 du même code, aux ventes d'un ou de plusieurs locaux à usage d'habitation ou à usage mixte d'habitation et professionnel d'un même immeuble à une société d'économie mixte mentionnée à l'article L. 481-1 dudit code ou à un organisme bénéficiant de l'agrément prévu à l'article L. 365-1 du même code. » ;</w:t>
      </w:r>
      <w:r w:rsidRPr="00874A27">
        <w:rPr>
          <w:rFonts w:ascii="Arial" w:eastAsia="Times New Roman" w:hAnsi="Arial" w:cs="Arial"/>
          <w:color w:val="000000"/>
          <w:sz w:val="19"/>
          <w:szCs w:val="19"/>
          <w:lang w:eastAsia="fr-FR"/>
        </w:rPr>
        <w:br/>
        <w:t>2° Au premier alinéa du A du I et au deuxième alinéa du II de l'article 10-1, le mot : « dix » est remplacé par le mot : « cinq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5" w:name="JORFARTI000028772403"/>
      <w:bookmarkEnd w:id="5"/>
      <w:r w:rsidRPr="00874A27">
        <w:rPr>
          <w:rFonts w:ascii="Arial" w:eastAsia="Times New Roman" w:hAnsi="Arial" w:cs="Arial"/>
          <w:b/>
          <w:bCs/>
          <w:color w:val="000000"/>
          <w:sz w:val="23"/>
          <w:szCs w:val="23"/>
          <w:lang w:eastAsia="fr-FR"/>
        </w:rPr>
        <w:t>Article 6 </w:t>
      </w:r>
      <w:hyperlink r:id="rId55" w:tooltip="En savoir plus sur l'article 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chapitre III du titre Ier de la loi n° 89-462 du 6 juillet 1989 précitée est ainsi modifié :</w:t>
      </w:r>
      <w:r w:rsidRPr="00874A27">
        <w:rPr>
          <w:rFonts w:ascii="Arial" w:eastAsia="Times New Roman" w:hAnsi="Arial" w:cs="Arial"/>
          <w:color w:val="000000"/>
          <w:sz w:val="19"/>
          <w:szCs w:val="19"/>
          <w:lang w:eastAsia="fr-FR"/>
        </w:rPr>
        <w:br/>
        <w:t>1° L'article 16 est ainsi rédigé :</w:t>
      </w:r>
      <w:r w:rsidRPr="00874A27">
        <w:rPr>
          <w:rFonts w:ascii="Arial" w:eastAsia="Times New Roman" w:hAnsi="Arial" w:cs="Arial"/>
          <w:color w:val="000000"/>
          <w:sz w:val="19"/>
          <w:szCs w:val="19"/>
          <w:lang w:eastAsia="fr-FR"/>
        </w:rPr>
        <w:br/>
        <w:t>« Art. 16.-Des observatoires locaux des loyers peuvent être créés à l'initiative des collectivités territoriales, des établissements publics de coopération intercommunale à fiscalité propre compétents en matière d'habitat ou de l'Etat. Ces observatoires ont notamment pour mission de recueillir les données relatives aux loyers sur une zone géographique déterminée et de mettre à la disposition du public des résultats statistiques représentatifs sur ces données.</w:t>
      </w:r>
      <w:r w:rsidRPr="00874A27">
        <w:rPr>
          <w:rFonts w:ascii="Arial" w:eastAsia="Times New Roman" w:hAnsi="Arial" w:cs="Arial"/>
          <w:color w:val="000000"/>
          <w:sz w:val="19"/>
          <w:szCs w:val="19"/>
          <w:lang w:eastAsia="fr-FR"/>
        </w:rPr>
        <w:br/>
        <w:t>« Le parc de référence pour l'observation et l'analyse des loyers est constitué de l'ensemble des locaux à usage d'habitation ou à usage mixte professionnel et d'habitation, à l'exception de ceux appartenant aux organismes d'habitations à loyer modéré et aux sociétés d'économie mixte de construction et de gestion des logements sociaux, ainsi que de ceux appartenant aux organismes bénéficiant de l'agrément relatif à la maîtrise d'ouvrage prévu à l'</w:t>
      </w:r>
      <w:hyperlink r:id="rId56" w:history="1">
        <w:r w:rsidRPr="00874A27">
          <w:rPr>
            <w:rFonts w:ascii="Arial" w:eastAsia="Times New Roman" w:hAnsi="Arial" w:cs="Arial"/>
            <w:color w:val="336699"/>
            <w:sz w:val="19"/>
            <w:szCs w:val="19"/>
            <w:u w:val="single"/>
            <w:lang w:eastAsia="fr-FR"/>
          </w:rPr>
          <w:t>article L. 365-2 du code de la construction et de l'habitation</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Les observatoires locaux des loyers mentionnés au premier alinéa sont agréés par le ministre chargé du logement, dans des conditions fixées par décret, après avis du comité régional de l'habitat et de l'hébergement ou du conseil départemental de l'habitat et de l'hébergement mentionnés à l'article L. 364-1 du même code et sous condition du respect des prescriptions méthodologiques émises par une instance scientifique indépendante chargée de conseiller le ministre chargé du logement, dans des conditions définies par décret. L'agrément n'est accordé qu'aux observatoires dont les statuts assurent la représentation équilibrée des bailleurs, des locataires et des gestionnaires au sein de leurs organes dirigeants ainsi que la présence de personnalités qualifiées au sein de ces organes. L'Etat et les établissements publics de coopération intercommunale dotés d'un programme local de l'habitat exécutoire sont représentés au sein des organes dirigeants des observatoires. Toutefois, peuvent être agréés, à titre transitoire et jusqu'au 31 décembre 2015, les observatoires locaux des loyers dont les statuts ne sont pas conformes aux dispositions du présent article. Les observatoires locaux des loyers sont intégrés dans le dispositif d'observation de l'habitat défini à l'article L. 302-1 dudit code.</w:t>
      </w:r>
      <w:r w:rsidRPr="00874A27">
        <w:rPr>
          <w:rFonts w:ascii="Arial" w:eastAsia="Times New Roman" w:hAnsi="Arial" w:cs="Arial"/>
          <w:color w:val="000000"/>
          <w:sz w:val="19"/>
          <w:szCs w:val="19"/>
          <w:lang w:eastAsia="fr-FR"/>
        </w:rPr>
        <w:br/>
        <w:t>« Les observatoires locaux des loyers peuvent prendre la forme d'association ou de groupement d'intérêt public.</w:t>
      </w:r>
      <w:r w:rsidRPr="00874A27">
        <w:rPr>
          <w:rFonts w:ascii="Arial" w:eastAsia="Times New Roman" w:hAnsi="Arial" w:cs="Arial"/>
          <w:color w:val="000000"/>
          <w:sz w:val="19"/>
          <w:szCs w:val="19"/>
          <w:lang w:eastAsia="fr-FR"/>
        </w:rPr>
        <w:br/>
        <w:t>« Ils transmettent l'ensemble de leurs données à l'association nationale mentionnée au troisième alinéa de l'article L. 366-1 du même code. Un décret fixe les conditions dans lesquelles ces données sont transmises et peuvent être communiquées à des tiers.</w:t>
      </w:r>
      <w:r w:rsidRPr="00874A27">
        <w:rPr>
          <w:rFonts w:ascii="Arial" w:eastAsia="Times New Roman" w:hAnsi="Arial" w:cs="Arial"/>
          <w:color w:val="000000"/>
          <w:sz w:val="19"/>
          <w:szCs w:val="19"/>
          <w:lang w:eastAsia="fr-FR"/>
        </w:rPr>
        <w:br/>
        <w:t>« L'organisme mentionné à l'</w:t>
      </w:r>
      <w:hyperlink r:id="rId57" w:history="1">
        <w:r w:rsidRPr="00874A27">
          <w:rPr>
            <w:rFonts w:ascii="Arial" w:eastAsia="Times New Roman" w:hAnsi="Arial" w:cs="Arial"/>
            <w:color w:val="336699"/>
            <w:sz w:val="19"/>
            <w:szCs w:val="19"/>
            <w:u w:val="single"/>
            <w:lang w:eastAsia="fr-FR"/>
          </w:rPr>
          <w:t>article L. 223-1 du code de la sécurité sociale </w:t>
        </w:r>
      </w:hyperlink>
      <w:r w:rsidRPr="00874A27">
        <w:rPr>
          <w:rFonts w:ascii="Arial" w:eastAsia="Times New Roman" w:hAnsi="Arial" w:cs="Arial"/>
          <w:color w:val="000000"/>
          <w:sz w:val="19"/>
          <w:szCs w:val="19"/>
          <w:lang w:eastAsia="fr-FR"/>
        </w:rPr>
        <w:t>transmet à l'association nationale mentionnée au </w:t>
      </w:r>
      <w:hyperlink r:id="rId58" w:history="1">
        <w:r w:rsidRPr="00874A27">
          <w:rPr>
            <w:rFonts w:ascii="Arial" w:eastAsia="Times New Roman" w:hAnsi="Arial" w:cs="Arial"/>
            <w:color w:val="336699"/>
            <w:sz w:val="19"/>
            <w:szCs w:val="19"/>
            <w:u w:val="single"/>
            <w:lang w:eastAsia="fr-FR"/>
          </w:rPr>
          <w:t>troisième alinéa de l'article L. 366-1 du code de la construction et de l'habitation </w:t>
        </w:r>
      </w:hyperlink>
      <w:r w:rsidRPr="00874A27">
        <w:rPr>
          <w:rFonts w:ascii="Arial" w:eastAsia="Times New Roman" w:hAnsi="Arial" w:cs="Arial"/>
          <w:color w:val="000000"/>
          <w:sz w:val="19"/>
          <w:szCs w:val="19"/>
          <w:lang w:eastAsia="fr-FR"/>
        </w:rPr>
        <w:t>les données dont il dispose relatives aux loyers et aux caractéristiques des logements dont les occupants bénéficient de l'allocation mentionnée aux articles </w:t>
      </w:r>
      <w:hyperlink r:id="rId59" w:history="1">
        <w:r w:rsidRPr="00874A27">
          <w:rPr>
            <w:rFonts w:ascii="Arial" w:eastAsia="Times New Roman" w:hAnsi="Arial" w:cs="Arial"/>
            <w:color w:val="336699"/>
            <w:sz w:val="19"/>
            <w:szCs w:val="19"/>
            <w:u w:val="single"/>
            <w:lang w:eastAsia="fr-FR"/>
          </w:rPr>
          <w:t>L. 542-1 </w:t>
        </w:r>
      </w:hyperlink>
      <w:r w:rsidRPr="00874A27">
        <w:rPr>
          <w:rFonts w:ascii="Arial" w:eastAsia="Times New Roman" w:hAnsi="Arial" w:cs="Arial"/>
          <w:color w:val="000000"/>
          <w:sz w:val="19"/>
          <w:szCs w:val="19"/>
          <w:lang w:eastAsia="fr-FR"/>
        </w:rPr>
        <w:t>et </w:t>
      </w:r>
      <w:hyperlink r:id="rId60" w:history="1">
        <w:r w:rsidRPr="00874A27">
          <w:rPr>
            <w:rFonts w:ascii="Arial" w:eastAsia="Times New Roman" w:hAnsi="Arial" w:cs="Arial"/>
            <w:color w:val="336699"/>
            <w:sz w:val="19"/>
            <w:szCs w:val="19"/>
            <w:u w:val="single"/>
            <w:lang w:eastAsia="fr-FR"/>
          </w:rPr>
          <w:t>L. 831-1 </w:t>
        </w:r>
      </w:hyperlink>
      <w:r w:rsidRPr="00874A27">
        <w:rPr>
          <w:rFonts w:ascii="Arial" w:eastAsia="Times New Roman" w:hAnsi="Arial" w:cs="Arial"/>
          <w:color w:val="000000"/>
          <w:sz w:val="19"/>
          <w:szCs w:val="19"/>
          <w:lang w:eastAsia="fr-FR"/>
        </w:rPr>
        <w:t>du code de la sécurité sociale, ainsi que le nom et l'adresse des propriétaires de ces logements. Un décret en Conseil d'Etat fixe la nature de ces données et leurs conditions de transmission et d'utilisation. » ;</w:t>
      </w:r>
      <w:r w:rsidRPr="00874A27">
        <w:rPr>
          <w:rFonts w:ascii="Arial" w:eastAsia="Times New Roman" w:hAnsi="Arial" w:cs="Arial"/>
          <w:color w:val="000000"/>
          <w:sz w:val="19"/>
          <w:szCs w:val="19"/>
          <w:lang w:eastAsia="fr-FR"/>
        </w:rPr>
        <w:br/>
        <w:t>2° L'article 17 est ainsi rédigé :</w:t>
      </w:r>
      <w:r w:rsidRPr="00874A27">
        <w:rPr>
          <w:rFonts w:ascii="Arial" w:eastAsia="Times New Roman" w:hAnsi="Arial" w:cs="Arial"/>
          <w:color w:val="000000"/>
          <w:sz w:val="19"/>
          <w:szCs w:val="19"/>
          <w:lang w:eastAsia="fr-FR"/>
        </w:rPr>
        <w:br/>
        <w:t>« Art. 17.-I. ― Les zones d'urbanisation continue de plus de 50 000 habitants où il existe un déséquilibre marqué entre l'offre et la demande de logements, entraînant des difficultés sérieuses d'accès au logement sur l'ensemble du parc résidentiel existant, qui se caractérisent notamment par le niveau élevé des loyers, le niveau élevé des prix d'acquisition des logements anciens ou le nombre élevé de demandes de logement par rapport au nombre d'emménagements annuels dans le parc locatif social, sont dotées d'un observatoire local des loyers prévu à l'article 16 de la présente loi. Un décret fixe la liste des communes comprises dans ces zones.</w:t>
      </w:r>
      <w:r w:rsidRPr="00874A27">
        <w:rPr>
          <w:rFonts w:ascii="Arial" w:eastAsia="Times New Roman" w:hAnsi="Arial" w:cs="Arial"/>
          <w:color w:val="000000"/>
          <w:sz w:val="19"/>
          <w:szCs w:val="19"/>
          <w:lang w:eastAsia="fr-FR"/>
        </w:rPr>
        <w:br/>
        <w:t>« Dans ces zones, le représentant de l'Etat dans le département fixe chaque année, par arrêté, un loyer de référence, un loyer de référence majoré et un loyer de référence minoré, exprimés par un prix au mètre carré de surface habitable, par catégorie de logement et par secteur géographique.</w:t>
      </w:r>
      <w:r w:rsidRPr="00874A27">
        <w:rPr>
          <w:rFonts w:ascii="Arial" w:eastAsia="Times New Roman" w:hAnsi="Arial" w:cs="Arial"/>
          <w:color w:val="000000"/>
          <w:sz w:val="19"/>
          <w:szCs w:val="19"/>
          <w:lang w:eastAsia="fr-FR"/>
        </w:rPr>
        <w:br/>
        <w:t>« Les catégories de logement et les secteurs géographiques sont déterminés en fonction de la structuration du marché locatif constatée par l'observatoire local des loyers.</w:t>
      </w:r>
      <w:r w:rsidRPr="00874A27">
        <w:rPr>
          <w:rFonts w:ascii="Arial" w:eastAsia="Times New Roman" w:hAnsi="Arial" w:cs="Arial"/>
          <w:color w:val="000000"/>
          <w:sz w:val="19"/>
          <w:szCs w:val="19"/>
          <w:lang w:eastAsia="fr-FR"/>
        </w:rPr>
        <w:br/>
        <w:t>« Chaque loyer de référence est égal au loyer médian calculé à partir des niveaux de loyers constatés par l'observatoire local des loyers selon les catégories de logement et les secteurs géographiques.</w:t>
      </w:r>
      <w:r w:rsidRPr="00874A27">
        <w:rPr>
          <w:rFonts w:ascii="Arial" w:eastAsia="Times New Roman" w:hAnsi="Arial" w:cs="Arial"/>
          <w:color w:val="000000"/>
          <w:sz w:val="19"/>
          <w:szCs w:val="19"/>
          <w:lang w:eastAsia="fr-FR"/>
        </w:rPr>
        <w:br/>
        <w:t>« Chaque loyer de référence majoré et chaque loyer de référence minoré sont fixés respectivement par majoration et par minoration du loyer de référence [Dispositions déclarées non conformes à la Constitution par la décision du Conseil constitutionnel n° 2014-691 DC du 20 mars 2014].</w:t>
      </w:r>
      <w:r w:rsidRPr="00874A27">
        <w:rPr>
          <w:rFonts w:ascii="Arial" w:eastAsia="Times New Roman" w:hAnsi="Arial" w:cs="Arial"/>
          <w:color w:val="000000"/>
          <w:sz w:val="19"/>
          <w:szCs w:val="19"/>
          <w:lang w:eastAsia="fr-FR"/>
        </w:rPr>
        <w:br/>
        <w:t>« Les compétences attribuées au représentant de l'Etat dans le département par le présent article sont exercées, dans la région d'Ile-de-France, par le représentant de l'Etat dans la région.</w:t>
      </w:r>
      <w:r w:rsidRPr="00874A27">
        <w:rPr>
          <w:rFonts w:ascii="Arial" w:eastAsia="Times New Roman" w:hAnsi="Arial" w:cs="Arial"/>
          <w:color w:val="000000"/>
          <w:sz w:val="19"/>
          <w:szCs w:val="19"/>
          <w:lang w:eastAsia="fr-FR"/>
        </w:rPr>
        <w:br/>
        <w:t>« Le loyer de référence majoré est égal [Rédaction conforme à l'article 1er de la décision du Conseil constitutionnel n° 2014-691 DC du 20 mars 2014] à un montant supérieur de 20 % au loyer de référence.</w:t>
      </w:r>
      <w:r w:rsidRPr="00874A27">
        <w:rPr>
          <w:rFonts w:ascii="Arial" w:eastAsia="Times New Roman" w:hAnsi="Arial" w:cs="Arial"/>
          <w:color w:val="000000"/>
          <w:sz w:val="19"/>
          <w:szCs w:val="19"/>
          <w:lang w:eastAsia="fr-FR"/>
        </w:rPr>
        <w:br/>
        <w:t>« Le loyer de référence minoré est égal [Rédaction conforme à l'article 1er de la décision du Conseil constitutionnel n° 2014-691 DC du 20 mars 2014] au loyer de référence diminué de 30 %.</w:t>
      </w:r>
      <w:r w:rsidRPr="00874A27">
        <w:rPr>
          <w:rFonts w:ascii="Arial" w:eastAsia="Times New Roman" w:hAnsi="Arial" w:cs="Arial"/>
          <w:color w:val="000000"/>
          <w:sz w:val="19"/>
          <w:szCs w:val="19"/>
          <w:lang w:eastAsia="fr-FR"/>
        </w:rPr>
        <w:br/>
        <w:t>« II. ― A. ― Dans les zones où s'applique l'arrêté mentionné au I, le loyer de base des logements mis en location est fixé librement entre les parties lors de la conclusion du contrat de bail, dans la limite du loyer de référence majoré. Une action en diminution de loyer peut être engagée si le loyer de base prévu dans le contrat de bail est supérieur au loyer de référence majoré en vigueur à la date de signature dudit contrat.</w:t>
      </w:r>
      <w:r w:rsidRPr="00874A27">
        <w:rPr>
          <w:rFonts w:ascii="Arial" w:eastAsia="Times New Roman" w:hAnsi="Arial" w:cs="Arial"/>
          <w:color w:val="000000"/>
          <w:sz w:val="19"/>
          <w:szCs w:val="19"/>
          <w:lang w:eastAsia="fr-FR"/>
        </w:rPr>
        <w:br/>
        <w:t>« B. ― Un complément de loyer [Dispositions déclarées non conformes à la Constitution par la décision du Conseil constitutionnel n° 2014-691 DC du 20 mars 2014] peut être appliqué au loyer de base tel que fixé au A pour des logements présentant des caractéristiques de localisation ou de confort [Dispositions déclarées non conformes à la Constitution par la décision du Conseil constitutionnel n° 2014-691 DC du 20 mars 2014] par comparaison avec les logements de la même catégorie situés dans le même secteur géographique. Les modalités d'application du présent alinéa sont précisées par décret en Conseil d'Etat.</w:t>
      </w:r>
      <w:r w:rsidRPr="00874A27">
        <w:rPr>
          <w:rFonts w:ascii="Arial" w:eastAsia="Times New Roman" w:hAnsi="Arial" w:cs="Arial"/>
          <w:color w:val="000000"/>
          <w:sz w:val="19"/>
          <w:szCs w:val="19"/>
          <w:lang w:eastAsia="fr-FR"/>
        </w:rPr>
        <w:br/>
        <w:t>« Le montant du complément de loyer [Dispositions déclarées non conformes à la Constitution par la décision du Conseil constitutionnel n° 2014-691 DC du 20 mars 2014] et les caractéristiques du logement le justifiant sont mentionnés au contrat de bail.</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Lorsqu'un complément de loyer [Dispositions déclarées non conformes à la Constitution par la décision du Conseil constitutionnel n° 2014-691 DC du 20 mars 2014] est appliqué, le loyer s'entend comme la somme du loyer de base et de ce complément.</w:t>
      </w:r>
      <w:r w:rsidRPr="00874A27">
        <w:rPr>
          <w:rFonts w:ascii="Arial" w:eastAsia="Times New Roman" w:hAnsi="Arial" w:cs="Arial"/>
          <w:color w:val="000000"/>
          <w:sz w:val="19"/>
          <w:szCs w:val="19"/>
          <w:lang w:eastAsia="fr-FR"/>
        </w:rPr>
        <w:br/>
        <w:t>« Un complément de loyer [Dispositions déclarées non conformes à la Constitution par la décision du Conseil constitutionnel n° 2014-691 DC du 20 mars 2014] ne peut être appliqué à un loyer de base inférieur au loyer de référence majoré.</w:t>
      </w:r>
      <w:r w:rsidRPr="00874A27">
        <w:rPr>
          <w:rFonts w:ascii="Arial" w:eastAsia="Times New Roman" w:hAnsi="Arial" w:cs="Arial"/>
          <w:color w:val="000000"/>
          <w:sz w:val="19"/>
          <w:szCs w:val="19"/>
          <w:lang w:eastAsia="fr-FR"/>
        </w:rPr>
        <w:br/>
        <w:t>« Le locataire qui souhaite contester le complément de loyer [Dispositions déclarées non conformes à la Constitution par la décision du Conseil constitutionnel n° 2014-691 DC du 20 mars 2014] dispose d'un délai de trois mois à compter de la signature du bail pour saisir la commission départementale de conciliation prévue à l'article 20 de la présente loi.</w:t>
      </w:r>
      <w:r w:rsidRPr="00874A27">
        <w:rPr>
          <w:rFonts w:ascii="Arial" w:eastAsia="Times New Roman" w:hAnsi="Arial" w:cs="Arial"/>
          <w:color w:val="000000"/>
          <w:sz w:val="19"/>
          <w:szCs w:val="19"/>
          <w:lang w:eastAsia="fr-FR"/>
        </w:rPr>
        <w:br/>
        <w:t>« En cas de contestation, il appartient au bailleur de démontrer que le logement présente des caractéristiques de localisation ou de confort [Dispositions déclarées non conformes à la Constitution par la décision du Conseil constitutionnel n° 2014-691 DC du 20 mars 2014] par comparaison avec les logements de la même catégorie situés dans le même secteur géographique.</w:t>
      </w:r>
      <w:r w:rsidRPr="00874A27">
        <w:rPr>
          <w:rFonts w:ascii="Arial" w:eastAsia="Times New Roman" w:hAnsi="Arial" w:cs="Arial"/>
          <w:color w:val="000000"/>
          <w:sz w:val="19"/>
          <w:szCs w:val="19"/>
          <w:lang w:eastAsia="fr-FR"/>
        </w:rPr>
        <w:br/>
        <w:t>« En cas de conciliation, le montant du loyer, tenant compte de l'éventuel complément de loyer [Dispositions déclarées non conformes à la Constitution par la décision du Conseil constitutionnel n° 2014-691 DC du 20 mars 2014], est celui fixé par le document de conciliation délivré par la commission départementale de conciliation.</w:t>
      </w:r>
      <w:r w:rsidRPr="00874A27">
        <w:rPr>
          <w:rFonts w:ascii="Arial" w:eastAsia="Times New Roman" w:hAnsi="Arial" w:cs="Arial"/>
          <w:color w:val="000000"/>
          <w:sz w:val="19"/>
          <w:szCs w:val="19"/>
          <w:lang w:eastAsia="fr-FR"/>
        </w:rPr>
        <w:br/>
        <w:t>« En l'absence de conciliation, le locataire dispose d'un délai de trois mois à compter de la réception de l'avis de la commission départementale de conciliation pour saisir le juge d'une demande en annulation ou en diminution du complément de loyer [Dispositions déclarées non conformes à la Constitution par la décision du Conseil constitutionnel n° 2014-691 DC du 20 mars 2014]. La fin de non-recevoir tirée de l'absence de saisine préalable de la commission départementale de conciliation peut être soulevée d'office par le juge.</w:t>
      </w:r>
      <w:r w:rsidRPr="00874A27">
        <w:rPr>
          <w:rFonts w:ascii="Arial" w:eastAsia="Times New Roman" w:hAnsi="Arial" w:cs="Arial"/>
          <w:color w:val="000000"/>
          <w:sz w:val="19"/>
          <w:szCs w:val="19"/>
          <w:lang w:eastAsia="fr-FR"/>
        </w:rPr>
        <w:br/>
        <w:t>« Dans les deux cas, le loyer résultant du document de conciliation ou de la décision de justice s'applique à compter de la prise d'effet du bail.</w:t>
      </w:r>
      <w:r w:rsidRPr="00874A27">
        <w:rPr>
          <w:rFonts w:ascii="Arial" w:eastAsia="Times New Roman" w:hAnsi="Arial" w:cs="Arial"/>
          <w:color w:val="000000"/>
          <w:sz w:val="19"/>
          <w:szCs w:val="19"/>
          <w:lang w:eastAsia="fr-FR"/>
        </w:rPr>
        <w:br/>
        <w:t>« III. ― En dehors des territoires mentionnés au I, la fixation du loyer des logements mis en location est libre.</w:t>
      </w:r>
      <w:r w:rsidRPr="00874A27">
        <w:rPr>
          <w:rFonts w:ascii="Arial" w:eastAsia="Times New Roman" w:hAnsi="Arial" w:cs="Arial"/>
          <w:color w:val="000000"/>
          <w:sz w:val="19"/>
          <w:szCs w:val="19"/>
          <w:lang w:eastAsia="fr-FR"/>
        </w:rPr>
        <w:br/>
        <w:t>« IV. ― Un décret en Conseil d'Etat fixe les modalités d'application du présent article. » ;</w:t>
      </w:r>
      <w:r w:rsidRPr="00874A27">
        <w:rPr>
          <w:rFonts w:ascii="Arial" w:eastAsia="Times New Roman" w:hAnsi="Arial" w:cs="Arial"/>
          <w:color w:val="000000"/>
          <w:sz w:val="19"/>
          <w:szCs w:val="19"/>
          <w:lang w:eastAsia="fr-FR"/>
        </w:rPr>
        <w:br/>
        <w:t>3° Après l'article 17, sont insérés des articles 17-1 et 17-2 ainsi rédigés :</w:t>
      </w:r>
      <w:r w:rsidRPr="00874A27">
        <w:rPr>
          <w:rFonts w:ascii="Arial" w:eastAsia="Times New Roman" w:hAnsi="Arial" w:cs="Arial"/>
          <w:color w:val="000000"/>
          <w:sz w:val="19"/>
          <w:szCs w:val="19"/>
          <w:lang w:eastAsia="fr-FR"/>
        </w:rPr>
        <w:br/>
        <w:t>« Art. 17-1.-I. ― Lorsque le contrat prévoit la révision du loyer, celle-ci intervient chaque année à la date convenue entre les parties ou, à défaut, au terme de chaque année du contrat.</w:t>
      </w:r>
      <w:r w:rsidRPr="00874A27">
        <w:rPr>
          <w:rFonts w:ascii="Arial" w:eastAsia="Times New Roman" w:hAnsi="Arial" w:cs="Arial"/>
          <w:color w:val="000000"/>
          <w:sz w:val="19"/>
          <w:szCs w:val="19"/>
          <w:lang w:eastAsia="fr-FR"/>
        </w:rPr>
        <w:br/>
        <w:t>« La variation qui en résulte ne peut excéder, à la hausse, la variation d'un indice de référence des loyers publié par l'Institut national de la statistique et des études économiques chaque trimestre et qui correspond à la moyenne, sur les douze derniers mois, de l'évolution des prix à la consommation hors tabac et hors loyers. A défaut de clause contractuelle fixant la date de référence, cette date est celle du dernier indice publié à la date de signature du contrat de location.</w:t>
      </w:r>
      <w:r w:rsidRPr="00874A27">
        <w:rPr>
          <w:rFonts w:ascii="Arial" w:eastAsia="Times New Roman" w:hAnsi="Arial" w:cs="Arial"/>
          <w:color w:val="000000"/>
          <w:sz w:val="19"/>
          <w:szCs w:val="19"/>
          <w:lang w:eastAsia="fr-FR"/>
        </w:rPr>
        <w:br/>
        <w:t>« A défaut de manifester sa volonté d'appliquer la révision du loyer dans un délai d'un an suivant sa date de prise d'effet, le bailleur est réputé avoir renoncé au bénéfice de cette clause pour l'année écoulée.</w:t>
      </w:r>
      <w:r w:rsidRPr="00874A27">
        <w:rPr>
          <w:rFonts w:ascii="Arial" w:eastAsia="Times New Roman" w:hAnsi="Arial" w:cs="Arial"/>
          <w:color w:val="000000"/>
          <w:sz w:val="19"/>
          <w:szCs w:val="19"/>
          <w:lang w:eastAsia="fr-FR"/>
        </w:rPr>
        <w:br/>
        <w:t>« Si le bailleur manifeste sa volonté de réviser le loyer dans le délai d'un an, cette révision de loyer prend effet à compter de sa demande.</w:t>
      </w:r>
      <w:r w:rsidRPr="00874A27">
        <w:rPr>
          <w:rFonts w:ascii="Arial" w:eastAsia="Times New Roman" w:hAnsi="Arial" w:cs="Arial"/>
          <w:color w:val="000000"/>
          <w:sz w:val="19"/>
          <w:szCs w:val="19"/>
          <w:lang w:eastAsia="fr-FR"/>
        </w:rPr>
        <w:br/>
        <w:t>« II. ― Lorsque les parties sont convenues, par une clause expresse, de travaux d'amélioration du logement que le bailleur fera exécuter, le contrat de location ou un avenant à ce contrat peut fixer la majoration du loyer consécutive à la réalisation de ces travaux. Cette majoration ne peut faire l'objet d'une action en diminution de loyer.</w:t>
      </w:r>
      <w:r w:rsidRPr="00874A27">
        <w:rPr>
          <w:rFonts w:ascii="Arial" w:eastAsia="Times New Roman" w:hAnsi="Arial" w:cs="Arial"/>
          <w:color w:val="000000"/>
          <w:sz w:val="19"/>
          <w:szCs w:val="19"/>
          <w:lang w:eastAsia="fr-FR"/>
        </w:rPr>
        <w:br/>
        <w:t>« Art. 17-2.-I. ― Lors du renouvellement du contrat, et dans les zones où s'applique l'arrêté mentionné au I de l'article 17, une action en diminution de loyer peut être engagée si le montant du loyer fixé au contrat de bail, hors montant du complément de loyer [Dispositions déclarées non conformes à la Constitution par la décision du Conseil constitutionnel n° 2014-691 DC du 20 mars 2014] le cas échéant, est supérieur au loyer de référence majoré.</w:t>
      </w:r>
      <w:r w:rsidRPr="00874A27">
        <w:rPr>
          <w:rFonts w:ascii="Arial" w:eastAsia="Times New Roman" w:hAnsi="Arial" w:cs="Arial"/>
          <w:color w:val="000000"/>
          <w:sz w:val="19"/>
          <w:szCs w:val="19"/>
          <w:lang w:eastAsia="fr-FR"/>
        </w:rPr>
        <w:br/>
        <w:t>« Dans ces mêmes zones, lors du renouvellement du contrat, une action en réévaluation de loyer peut être engagée dès lors que le loyer est inférieur au loyer de référence minoré.</w:t>
      </w:r>
      <w:r w:rsidRPr="00874A27">
        <w:rPr>
          <w:rFonts w:ascii="Arial" w:eastAsia="Times New Roman" w:hAnsi="Arial" w:cs="Arial"/>
          <w:color w:val="000000"/>
          <w:sz w:val="19"/>
          <w:szCs w:val="19"/>
          <w:lang w:eastAsia="fr-FR"/>
        </w:rPr>
        <w:br/>
        <w:t>« Dans ces deux cas, l'une ou l'autre des parties peut proposer un nouveau loyer à son cocontractant, au moins six mois avant le terme du contrat pour le bailleur et au moins cinq mois avant le terme du contrat pour le locataire, dans les conditions de forme prévues à l'article 15. Le montant du loyer de référence majoré ou minoré pris en compte correspond à celui qui est en vigueur à la date de la proposition émise par l'une des parties.</w:t>
      </w:r>
      <w:r w:rsidRPr="00874A27">
        <w:rPr>
          <w:rFonts w:ascii="Arial" w:eastAsia="Times New Roman" w:hAnsi="Arial" w:cs="Arial"/>
          <w:color w:val="000000"/>
          <w:sz w:val="19"/>
          <w:szCs w:val="19"/>
          <w:lang w:eastAsia="fr-FR"/>
        </w:rPr>
        <w:br/>
        <w:t>« Le nouveau loyer proposé dans le cadre d'une action en réévaluation de loyer est inférieur ou égal au loyer de référence minoré. Le locataire peut, par référence aux loyers habituellement constatés dans le voisinage pour des logements comparables, contester l'action en réévaluation de loyer selon la procédure prévue au présent article.</w:t>
      </w:r>
      <w:r w:rsidRPr="00874A27">
        <w:rPr>
          <w:rFonts w:ascii="Arial" w:eastAsia="Times New Roman" w:hAnsi="Arial" w:cs="Arial"/>
          <w:color w:val="000000"/>
          <w:sz w:val="19"/>
          <w:szCs w:val="19"/>
          <w:lang w:eastAsia="fr-FR"/>
        </w:rPr>
        <w:br/>
        <w:t xml:space="preserve">« Les loyers servant de références doivent être représentatifs de l'ensemble des loyers habituellement constatés dans le voisinage pour des logements comparables, situés soit dans le même groupe </w:t>
      </w:r>
      <w:r w:rsidRPr="00874A27">
        <w:rPr>
          <w:rFonts w:ascii="Arial" w:eastAsia="Times New Roman" w:hAnsi="Arial" w:cs="Arial"/>
          <w:color w:val="000000"/>
          <w:sz w:val="19"/>
          <w:szCs w:val="19"/>
          <w:lang w:eastAsia="fr-FR"/>
        </w:rPr>
        <w:lastRenderedPageBreak/>
        <w:t>d'immeubles, soit dans tout autre groupe d'immeubles comportant des caractéristiques similaires et situés dans la même zone géographique. Un décret en Conseil d'Etat définit les éléments constitutifs de ces références.</w:t>
      </w:r>
      <w:r w:rsidRPr="00874A27">
        <w:rPr>
          <w:rFonts w:ascii="Arial" w:eastAsia="Times New Roman" w:hAnsi="Arial" w:cs="Arial"/>
          <w:color w:val="000000"/>
          <w:sz w:val="19"/>
          <w:szCs w:val="19"/>
          <w:lang w:eastAsia="fr-FR"/>
        </w:rPr>
        <w:br/>
        <w:t>« Le nombre minimal de références à fournir est de trois. Toutefois, il est de six dans les communes, dont la liste est fixée par décret, faisant partie d'une agglomération de plus d'un million d'habitants.</w:t>
      </w:r>
      <w:r w:rsidRPr="00874A27">
        <w:rPr>
          <w:rFonts w:ascii="Arial" w:eastAsia="Times New Roman" w:hAnsi="Arial" w:cs="Arial"/>
          <w:color w:val="000000"/>
          <w:sz w:val="19"/>
          <w:szCs w:val="19"/>
          <w:lang w:eastAsia="fr-FR"/>
        </w:rPr>
        <w:br/>
        <w:t>« Lorsque le bailleur fait application du présent I, il ne peut donner congé au locataire pour la même échéance du contrat.</w:t>
      </w:r>
      <w:r w:rsidRPr="00874A27">
        <w:rPr>
          <w:rFonts w:ascii="Arial" w:eastAsia="Times New Roman" w:hAnsi="Arial" w:cs="Arial"/>
          <w:color w:val="000000"/>
          <w:sz w:val="19"/>
          <w:szCs w:val="19"/>
          <w:lang w:eastAsia="fr-FR"/>
        </w:rPr>
        <w:br/>
        <w:t>« La notification d'une proposition d'un nouveau loyer reproduit intégralement, à peine de nullité, les dispositions du présent I et mentionne le montant du loyer ainsi que le loyer de référence majoré ou le loyer de référence minoré ayant servi à le déterminer.</w:t>
      </w:r>
      <w:r w:rsidRPr="00874A27">
        <w:rPr>
          <w:rFonts w:ascii="Arial" w:eastAsia="Times New Roman" w:hAnsi="Arial" w:cs="Arial"/>
          <w:color w:val="000000"/>
          <w:sz w:val="19"/>
          <w:szCs w:val="19"/>
          <w:lang w:eastAsia="fr-FR"/>
        </w:rPr>
        <w:br/>
        <w:t>« En cas de désaccord ou à défaut de réponse du cocontractant saisi quatre mois avant le terme du contrat, l'une ou l'autre des parties peut saisir la commission départementale de conciliation mentionnée à l'article 20.</w:t>
      </w:r>
      <w:r w:rsidRPr="00874A27">
        <w:rPr>
          <w:rFonts w:ascii="Arial" w:eastAsia="Times New Roman" w:hAnsi="Arial" w:cs="Arial"/>
          <w:color w:val="000000"/>
          <w:sz w:val="19"/>
          <w:szCs w:val="19"/>
          <w:lang w:eastAsia="fr-FR"/>
        </w:rPr>
        <w:br/>
        <w:t>« A défaut d'accord constaté par la commission départementale de conciliation, le juge peut être saisi, avant le terme du contrat. A défaut de saisine du juge, le contrat est reconduit de plein droit aux conditions antérieures du loyer, éventuellement révisé en application de l'article 17-1. Le contrat dont le loyer est fixé judiciairement est réputé renouvelé pour la durée définie à l'article 10, à compter de la date d'expiration du contrat. La décision du juge est exécutoire par provision.</w:t>
      </w:r>
      <w:r w:rsidRPr="00874A27">
        <w:rPr>
          <w:rFonts w:ascii="Arial" w:eastAsia="Times New Roman" w:hAnsi="Arial" w:cs="Arial"/>
          <w:color w:val="000000"/>
          <w:sz w:val="19"/>
          <w:szCs w:val="19"/>
          <w:lang w:eastAsia="fr-FR"/>
        </w:rPr>
        <w:br/>
        <w:t>« Lorsque les parties s'accordent sur une hausse du loyer ou lorsque cette hausse est fixée judiciairement, celle-ci s'applique par tiers ou par sixième selon la durée du contrat.</w:t>
      </w:r>
      <w:r w:rsidRPr="00874A27">
        <w:rPr>
          <w:rFonts w:ascii="Arial" w:eastAsia="Times New Roman" w:hAnsi="Arial" w:cs="Arial"/>
          <w:color w:val="000000"/>
          <w:sz w:val="19"/>
          <w:szCs w:val="19"/>
          <w:lang w:eastAsia="fr-FR"/>
        </w:rPr>
        <w:br/>
        <w:t>« Toutefois, cette hausse s'applique par sixième annuel au contrat renouvelé, puis lors du renouvellement ultérieur, dès lors qu'elle est supérieure à 10 % si le premier renouvellement avait une durée inférieure à six ans.</w:t>
      </w:r>
      <w:r w:rsidRPr="00874A27">
        <w:rPr>
          <w:rFonts w:ascii="Arial" w:eastAsia="Times New Roman" w:hAnsi="Arial" w:cs="Arial"/>
          <w:color w:val="000000"/>
          <w:sz w:val="19"/>
          <w:szCs w:val="19"/>
          <w:lang w:eastAsia="fr-FR"/>
        </w:rPr>
        <w:br/>
        <w:t>« La révision éventuelle résultant de l'article 17-1 s'applique à chaque valeur ainsi définie.</w:t>
      </w:r>
      <w:r w:rsidRPr="00874A27">
        <w:rPr>
          <w:rFonts w:ascii="Arial" w:eastAsia="Times New Roman" w:hAnsi="Arial" w:cs="Arial"/>
          <w:color w:val="000000"/>
          <w:sz w:val="19"/>
          <w:szCs w:val="19"/>
          <w:lang w:eastAsia="fr-FR"/>
        </w:rPr>
        <w:br/>
        <w:t>« II. ― Dans les zones où ne s'applique pas l'arrêté mentionné au I de l'article 17, lors du renouvellement du contrat, le loyer ne donne lieu à réévaluation que s'il est manifestement sous-évalué.</w:t>
      </w:r>
      <w:r w:rsidRPr="00874A27">
        <w:rPr>
          <w:rFonts w:ascii="Arial" w:eastAsia="Times New Roman" w:hAnsi="Arial" w:cs="Arial"/>
          <w:color w:val="000000"/>
          <w:sz w:val="19"/>
          <w:szCs w:val="19"/>
          <w:lang w:eastAsia="fr-FR"/>
        </w:rPr>
        <w:br/>
        <w:t>« Dans ce cas, le bailleur peut proposer au locataire, au moins six mois avant le terme du contrat et dans les conditions de forme prévues à l'article 15, un nouveau loyer fixé par référence aux loyers habituellement constatés dans le voisinage pour des logements comparables dans les conditions définies aux cinquième et sixième alinéas du I du présent article.</w:t>
      </w:r>
      <w:r w:rsidRPr="00874A27">
        <w:rPr>
          <w:rFonts w:ascii="Arial" w:eastAsia="Times New Roman" w:hAnsi="Arial" w:cs="Arial"/>
          <w:color w:val="000000"/>
          <w:sz w:val="19"/>
          <w:szCs w:val="19"/>
          <w:lang w:eastAsia="fr-FR"/>
        </w:rPr>
        <w:br/>
        <w:t>« Lorsque le bailleur fait application des dispositions du présent II, il ne peut donner congé au locataire pour la même échéance du contrat.</w:t>
      </w:r>
      <w:r w:rsidRPr="00874A27">
        <w:rPr>
          <w:rFonts w:ascii="Arial" w:eastAsia="Times New Roman" w:hAnsi="Arial" w:cs="Arial"/>
          <w:color w:val="000000"/>
          <w:sz w:val="19"/>
          <w:szCs w:val="19"/>
          <w:lang w:eastAsia="fr-FR"/>
        </w:rPr>
        <w:br/>
        <w:t>« La notification reproduit intégralement, à peine de nullité, les dispositions du présent II et mentionne le montant du loyer ainsi que la liste des références ayant servi à le déterminer.</w:t>
      </w:r>
      <w:r w:rsidRPr="00874A27">
        <w:rPr>
          <w:rFonts w:ascii="Arial" w:eastAsia="Times New Roman" w:hAnsi="Arial" w:cs="Arial"/>
          <w:color w:val="000000"/>
          <w:sz w:val="19"/>
          <w:szCs w:val="19"/>
          <w:lang w:eastAsia="fr-FR"/>
        </w:rPr>
        <w:br/>
        <w:t>« En cas de désaccord ou à défaut de réponse du locataire quatre mois avant le terme du contrat, l'une ou l'autre des parties saisit la commission départementale de conciliation.</w:t>
      </w:r>
      <w:r w:rsidRPr="00874A27">
        <w:rPr>
          <w:rFonts w:ascii="Arial" w:eastAsia="Times New Roman" w:hAnsi="Arial" w:cs="Arial"/>
          <w:color w:val="000000"/>
          <w:sz w:val="19"/>
          <w:szCs w:val="19"/>
          <w:lang w:eastAsia="fr-FR"/>
        </w:rPr>
        <w:br/>
        <w:t>« A défaut d'accord constaté par la commission, le juge est saisi avant le terme du contrat. A défaut de saisine, le contrat est reconduit de plein droit aux conditions antérieures du loyer, éventuellement révisé. Le contrat dont le loyer est fixé judiciairement est réputé renouvelé pour la durée définie à l'article 10 à compter de la date d'expiration du contrat. La décision du juge est exécutoire par provision.</w:t>
      </w:r>
      <w:r w:rsidRPr="00874A27">
        <w:rPr>
          <w:rFonts w:ascii="Arial" w:eastAsia="Times New Roman" w:hAnsi="Arial" w:cs="Arial"/>
          <w:color w:val="000000"/>
          <w:sz w:val="19"/>
          <w:szCs w:val="19"/>
          <w:lang w:eastAsia="fr-FR"/>
        </w:rPr>
        <w:br/>
        <w:t>« La hausse convenue entre les parties ou fixée judiciairement s'applique par tiers ou par sixième selon la durée du contrat.</w:t>
      </w:r>
      <w:r w:rsidRPr="00874A27">
        <w:rPr>
          <w:rFonts w:ascii="Arial" w:eastAsia="Times New Roman" w:hAnsi="Arial" w:cs="Arial"/>
          <w:color w:val="000000"/>
          <w:sz w:val="19"/>
          <w:szCs w:val="19"/>
          <w:lang w:eastAsia="fr-FR"/>
        </w:rPr>
        <w:br/>
        <w:t>« Toutefois, cette hausse s'applique par sixième annuel au contrat renouvelé, puis lors du renouvellement ultérieur, dès lors qu'elle est supérieure à 10 % si le premier renouvellement avait une durée inférieure à six ans.</w:t>
      </w:r>
      <w:r w:rsidRPr="00874A27">
        <w:rPr>
          <w:rFonts w:ascii="Arial" w:eastAsia="Times New Roman" w:hAnsi="Arial" w:cs="Arial"/>
          <w:color w:val="000000"/>
          <w:sz w:val="19"/>
          <w:szCs w:val="19"/>
          <w:lang w:eastAsia="fr-FR"/>
        </w:rPr>
        <w:br/>
        <w:t>« La révision éventuelle résultant de l'article 17-1 s'applique à chaque valeur ainsi définie. » ;</w:t>
      </w:r>
      <w:r w:rsidRPr="00874A27">
        <w:rPr>
          <w:rFonts w:ascii="Arial" w:eastAsia="Times New Roman" w:hAnsi="Arial" w:cs="Arial"/>
          <w:color w:val="000000"/>
          <w:sz w:val="19"/>
          <w:szCs w:val="19"/>
          <w:lang w:eastAsia="fr-FR"/>
        </w:rPr>
        <w:br/>
        <w:t>4° L'article 18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le début est ainsi rédigé : « Pour chacune des zones d'urbanisation continue de plus de 50 000 habitants où il existe un déséquilibre marqué entre l'offre et la demande de logements, entraînant des difficultés sérieuses d'accès au logement sur l'ensemble du parc résidentiel existant qui se caractérisent notamment par le niveau élevé des loyers, le niveau élevé des prix d'acquisition des logements anciens ou le nombre élevé de demandes de logement par rapport au nombre d'emménagements annuels dans le parc locatif social, un décret... (le reste sans changement). » ;</w:t>
      </w:r>
      <w:r w:rsidRPr="00874A27">
        <w:rPr>
          <w:rFonts w:ascii="Arial" w:eastAsia="Times New Roman" w:hAnsi="Arial" w:cs="Arial"/>
          <w:color w:val="000000"/>
          <w:sz w:val="19"/>
          <w:szCs w:val="19"/>
          <w:lang w:eastAsia="fr-FR"/>
        </w:rPr>
        <w:br/>
        <w:t>― les mots : « peut fixer » sont remplacés par les mots : « fixe annuellement » et les mots : « définis au b de l'article 17 » et : « définis au c du même article » sont supprimés ;</w:t>
      </w:r>
      <w:r w:rsidRPr="00874A27">
        <w:rPr>
          <w:rFonts w:ascii="Arial" w:eastAsia="Times New Roman" w:hAnsi="Arial" w:cs="Arial"/>
          <w:color w:val="000000"/>
          <w:sz w:val="19"/>
          <w:szCs w:val="19"/>
          <w:lang w:eastAsia="fr-FR"/>
        </w:rPr>
        <w:br/>
        <w:t>b) Au second alinéa, les mots : « précise sa durée de validité qui ne peut excéder un an et » sont supprimés ;</w:t>
      </w:r>
      <w:r w:rsidRPr="00874A27">
        <w:rPr>
          <w:rFonts w:ascii="Arial" w:eastAsia="Times New Roman" w:hAnsi="Arial" w:cs="Arial"/>
          <w:color w:val="000000"/>
          <w:sz w:val="19"/>
          <w:szCs w:val="19"/>
          <w:lang w:eastAsia="fr-FR"/>
        </w:rPr>
        <w:br/>
        <w:t>c) Il est ajouté un alinéa ainsi rédigé :</w:t>
      </w:r>
      <w:r w:rsidRPr="00874A27">
        <w:rPr>
          <w:rFonts w:ascii="Arial" w:eastAsia="Times New Roman" w:hAnsi="Arial" w:cs="Arial"/>
          <w:color w:val="000000"/>
          <w:sz w:val="19"/>
          <w:szCs w:val="19"/>
          <w:lang w:eastAsia="fr-FR"/>
        </w:rPr>
        <w:br/>
        <w:t>« En cas de litige entre les parties résultant de l'application de ce décret, la commission départementale de conciliation est compétente et sa saisine constitue un préalable obligatoire à la saisine du juge par l'une ou l'autre des parties.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5° L'article 19 est abrogé ;</w:t>
      </w:r>
      <w:r w:rsidRPr="00874A27">
        <w:rPr>
          <w:rFonts w:ascii="Arial" w:eastAsia="Times New Roman" w:hAnsi="Arial" w:cs="Arial"/>
          <w:color w:val="000000"/>
          <w:sz w:val="19"/>
          <w:szCs w:val="19"/>
          <w:lang w:eastAsia="fr-FR"/>
        </w:rPr>
        <w:br/>
        <w:t>6° L'article 20 est ainsi rédigé :</w:t>
      </w:r>
      <w:r w:rsidRPr="00874A27">
        <w:rPr>
          <w:rFonts w:ascii="Arial" w:eastAsia="Times New Roman" w:hAnsi="Arial" w:cs="Arial"/>
          <w:color w:val="000000"/>
          <w:sz w:val="19"/>
          <w:szCs w:val="19"/>
          <w:lang w:eastAsia="fr-FR"/>
        </w:rPr>
        <w:br/>
        <w:t>« Art. 20.-Il est créé, auprès du représentant de l'Etat dans chaque département, une commission départementale de conciliation composée de représentants d'organisations de bailleurs et d'organisations de locataires, en nombre égal. La commission rend un avis dans le délai de deux mois à compter de sa saisine et s'efforce de concilier les parties.</w:t>
      </w:r>
      <w:r w:rsidRPr="00874A27">
        <w:rPr>
          <w:rFonts w:ascii="Arial" w:eastAsia="Times New Roman" w:hAnsi="Arial" w:cs="Arial"/>
          <w:color w:val="000000"/>
          <w:sz w:val="19"/>
          <w:szCs w:val="19"/>
          <w:lang w:eastAsia="fr-FR"/>
        </w:rPr>
        <w:br/>
        <w:t>« La compétence de la commission porte sur :</w:t>
      </w:r>
      <w:r w:rsidRPr="00874A27">
        <w:rPr>
          <w:rFonts w:ascii="Arial" w:eastAsia="Times New Roman" w:hAnsi="Arial" w:cs="Arial"/>
          <w:color w:val="000000"/>
          <w:sz w:val="19"/>
          <w:szCs w:val="19"/>
          <w:lang w:eastAsia="fr-FR"/>
        </w:rPr>
        <w:br/>
        <w:t>« 1° Les litiges résultant de l'application des articles 17,17-1,17-2 et 18 de la présente loi et des articles </w:t>
      </w:r>
      <w:hyperlink r:id="rId61" w:history="1">
        <w:r w:rsidRPr="00874A27">
          <w:rPr>
            <w:rFonts w:ascii="Arial" w:eastAsia="Times New Roman" w:hAnsi="Arial" w:cs="Arial"/>
            <w:color w:val="336699"/>
            <w:sz w:val="19"/>
            <w:szCs w:val="19"/>
            <w:u w:val="single"/>
            <w:lang w:eastAsia="fr-FR"/>
          </w:rPr>
          <w:t>30 </w:t>
        </w:r>
      </w:hyperlink>
      <w:r w:rsidRPr="00874A27">
        <w:rPr>
          <w:rFonts w:ascii="Arial" w:eastAsia="Times New Roman" w:hAnsi="Arial" w:cs="Arial"/>
          <w:color w:val="000000"/>
          <w:sz w:val="19"/>
          <w:szCs w:val="19"/>
          <w:lang w:eastAsia="fr-FR"/>
        </w:rPr>
        <w:t>et </w:t>
      </w:r>
      <w:hyperlink r:id="rId62" w:history="1">
        <w:r w:rsidRPr="00874A27">
          <w:rPr>
            <w:rFonts w:ascii="Arial" w:eastAsia="Times New Roman" w:hAnsi="Arial" w:cs="Arial"/>
            <w:color w:val="336699"/>
            <w:sz w:val="19"/>
            <w:szCs w:val="19"/>
            <w:u w:val="single"/>
            <w:lang w:eastAsia="fr-FR"/>
          </w:rPr>
          <w:t>31 </w:t>
        </w:r>
      </w:hyperlink>
      <w:r w:rsidRPr="00874A27">
        <w:rPr>
          <w:rFonts w:ascii="Arial" w:eastAsia="Times New Roman" w:hAnsi="Arial" w:cs="Arial"/>
          <w:color w:val="000000"/>
          <w:sz w:val="19"/>
          <w:szCs w:val="19"/>
          <w:lang w:eastAsia="fr-FR"/>
        </w:rPr>
        <w:t>de la loi n° 86-1290 du 23 décembre 1986 tendant à favoriser l'investissement locatif, l'accession à la propriété de logements sociaux et le développement de l'offre foncière ;</w:t>
      </w:r>
      <w:r w:rsidRPr="00874A27">
        <w:rPr>
          <w:rFonts w:ascii="Arial" w:eastAsia="Times New Roman" w:hAnsi="Arial" w:cs="Arial"/>
          <w:color w:val="000000"/>
          <w:sz w:val="19"/>
          <w:szCs w:val="19"/>
          <w:lang w:eastAsia="fr-FR"/>
        </w:rPr>
        <w:br/>
        <w:t>« 2° Les litiges relatifs aux caractéristiques du logement mentionnées aux deux premiers alinéas de l'article 6 de la présente loi ;</w:t>
      </w:r>
      <w:r w:rsidRPr="00874A27">
        <w:rPr>
          <w:rFonts w:ascii="Arial" w:eastAsia="Times New Roman" w:hAnsi="Arial" w:cs="Arial"/>
          <w:color w:val="000000"/>
          <w:sz w:val="19"/>
          <w:szCs w:val="19"/>
          <w:lang w:eastAsia="fr-FR"/>
        </w:rPr>
        <w:br/>
        <w:t>« 3° Les litiges relatifs à l'état des lieux, au dépôt de garantie, aux charges locatives et aux réparations ;</w:t>
      </w:r>
      <w:r w:rsidRPr="00874A27">
        <w:rPr>
          <w:rFonts w:ascii="Arial" w:eastAsia="Times New Roman" w:hAnsi="Arial" w:cs="Arial"/>
          <w:color w:val="000000"/>
          <w:sz w:val="19"/>
          <w:szCs w:val="19"/>
          <w:lang w:eastAsia="fr-FR"/>
        </w:rPr>
        <w:br/>
        <w:t>« 4° Les litiges relatifs aux congés délivrés en application de l'article 15 ;</w:t>
      </w:r>
      <w:r w:rsidRPr="00874A27">
        <w:rPr>
          <w:rFonts w:ascii="Arial" w:eastAsia="Times New Roman" w:hAnsi="Arial" w:cs="Arial"/>
          <w:color w:val="000000"/>
          <w:sz w:val="19"/>
          <w:szCs w:val="19"/>
          <w:lang w:eastAsia="fr-FR"/>
        </w:rPr>
        <w:br/>
        <w:t>« 5° Les difficultés résultant de l'application des accords collectifs nationaux ou locaux prévus aux articles </w:t>
      </w:r>
      <w:hyperlink r:id="rId63" w:history="1">
        <w:r w:rsidRPr="00874A27">
          <w:rPr>
            <w:rFonts w:ascii="Arial" w:eastAsia="Times New Roman" w:hAnsi="Arial" w:cs="Arial"/>
            <w:color w:val="336699"/>
            <w:sz w:val="19"/>
            <w:szCs w:val="19"/>
            <w:u w:val="single"/>
            <w:lang w:eastAsia="fr-FR"/>
          </w:rPr>
          <w:t>41 ter </w:t>
        </w:r>
      </w:hyperlink>
      <w:r w:rsidRPr="00874A27">
        <w:rPr>
          <w:rFonts w:ascii="Arial" w:eastAsia="Times New Roman" w:hAnsi="Arial" w:cs="Arial"/>
          <w:color w:val="000000"/>
          <w:sz w:val="19"/>
          <w:szCs w:val="19"/>
          <w:lang w:eastAsia="fr-FR"/>
        </w:rPr>
        <w:t>et </w:t>
      </w:r>
      <w:hyperlink r:id="rId64" w:history="1">
        <w:r w:rsidRPr="00874A27">
          <w:rPr>
            <w:rFonts w:ascii="Arial" w:eastAsia="Times New Roman" w:hAnsi="Arial" w:cs="Arial"/>
            <w:color w:val="336699"/>
            <w:sz w:val="19"/>
            <w:szCs w:val="19"/>
            <w:u w:val="single"/>
            <w:lang w:eastAsia="fr-FR"/>
          </w:rPr>
          <w:t>42 </w:t>
        </w:r>
      </w:hyperlink>
      <w:r w:rsidRPr="00874A27">
        <w:rPr>
          <w:rFonts w:ascii="Arial" w:eastAsia="Times New Roman" w:hAnsi="Arial" w:cs="Arial"/>
          <w:color w:val="000000"/>
          <w:sz w:val="19"/>
          <w:szCs w:val="19"/>
          <w:lang w:eastAsia="fr-FR"/>
        </w:rPr>
        <w:t>de la loi n° 86-1290 du 23 décembre 1986 précitée ou de l'application du plan de concertation locative prévu à l'article 44 bis de la même loi et les difficultés résultant des modalités de fonctionnement de l'immeuble ou du groupe d'immeubles.</w:t>
      </w:r>
      <w:r w:rsidRPr="00874A27">
        <w:rPr>
          <w:rFonts w:ascii="Arial" w:eastAsia="Times New Roman" w:hAnsi="Arial" w:cs="Arial"/>
          <w:color w:val="000000"/>
          <w:sz w:val="19"/>
          <w:szCs w:val="19"/>
          <w:lang w:eastAsia="fr-FR"/>
        </w:rPr>
        <w:br/>
        <w:t>« Pour le règlement des litiges mentionnés aux 1° à 4° du présent article, la commission départementale de conciliation peut être saisie par le bailleur ou le locataire. Pour le règlement des difficultés mentionnées au 5°, elle peut être saisie par le bailleur, plusieurs locataires ou une association représentative de locataires.</w:t>
      </w:r>
      <w:r w:rsidRPr="00874A27">
        <w:rPr>
          <w:rFonts w:ascii="Arial" w:eastAsia="Times New Roman" w:hAnsi="Arial" w:cs="Arial"/>
          <w:color w:val="000000"/>
          <w:sz w:val="19"/>
          <w:szCs w:val="19"/>
          <w:lang w:eastAsia="fr-FR"/>
        </w:rPr>
        <w:br/>
        <w:t>« A défaut de conciliation entre les parties, elle rend un avis comportant l'exposé du différend et la position des parties ainsi que, le cas échéant, celle de la commission. Cet avis peut être transmis au juge par l'une ou l'autre des parties. En cas de conciliation, elle établit un document de conciliation comportant les termes de l'accord trouvé.</w:t>
      </w:r>
      <w:r w:rsidRPr="00874A27">
        <w:rPr>
          <w:rFonts w:ascii="Arial" w:eastAsia="Times New Roman" w:hAnsi="Arial" w:cs="Arial"/>
          <w:color w:val="000000"/>
          <w:sz w:val="19"/>
          <w:szCs w:val="19"/>
          <w:lang w:eastAsia="fr-FR"/>
        </w:rPr>
        <w:br/>
        <w:t>« La composition de la commission départementale de conciliation, le mode de désignation de ses membres, son organisation et ses règles de saisine et de fonctionnement sont fixés par décret. » ;</w:t>
      </w:r>
      <w:r w:rsidRPr="00874A27">
        <w:rPr>
          <w:rFonts w:ascii="Arial" w:eastAsia="Times New Roman" w:hAnsi="Arial" w:cs="Arial"/>
          <w:color w:val="000000"/>
          <w:sz w:val="19"/>
          <w:szCs w:val="19"/>
          <w:lang w:eastAsia="fr-FR"/>
        </w:rPr>
        <w:br/>
        <w:t>7° L'article 20-1 est ainsi modifié :</w:t>
      </w:r>
      <w:r w:rsidRPr="00874A27">
        <w:rPr>
          <w:rFonts w:ascii="Arial" w:eastAsia="Times New Roman" w:hAnsi="Arial" w:cs="Arial"/>
          <w:color w:val="000000"/>
          <w:sz w:val="19"/>
          <w:szCs w:val="19"/>
          <w:lang w:eastAsia="fr-FR"/>
        </w:rPr>
        <w:br/>
        <w:t>a) A la première phrase du premier alinéa, le mot : « leur » est remplacé par le mot : « sa » ;</w:t>
      </w:r>
      <w:r w:rsidRPr="00874A27">
        <w:rPr>
          <w:rFonts w:ascii="Arial" w:eastAsia="Times New Roman" w:hAnsi="Arial" w:cs="Arial"/>
          <w:color w:val="000000"/>
          <w:sz w:val="19"/>
          <w:szCs w:val="19"/>
          <w:lang w:eastAsia="fr-FR"/>
        </w:rPr>
        <w:br/>
        <w:t>b) Après le premier alinéa, il est inséré un alinéa ainsi rédigé :</w:t>
      </w:r>
      <w:r w:rsidRPr="00874A27">
        <w:rPr>
          <w:rFonts w:ascii="Arial" w:eastAsia="Times New Roman" w:hAnsi="Arial" w:cs="Arial"/>
          <w:color w:val="000000"/>
          <w:sz w:val="19"/>
          <w:szCs w:val="19"/>
          <w:lang w:eastAsia="fr-FR"/>
        </w:rPr>
        <w:br/>
        <w:t>« L'information du bailleur par l'organisme payeur de son obligation de mise en conformité du logement, telle que prévue aux articles </w:t>
      </w:r>
      <w:hyperlink r:id="rId65" w:history="1">
        <w:r w:rsidRPr="00874A27">
          <w:rPr>
            <w:rFonts w:ascii="Arial" w:eastAsia="Times New Roman" w:hAnsi="Arial" w:cs="Arial"/>
            <w:color w:val="336699"/>
            <w:sz w:val="19"/>
            <w:szCs w:val="19"/>
            <w:u w:val="single"/>
            <w:lang w:eastAsia="fr-FR"/>
          </w:rPr>
          <w:t>L. 542-2 </w:t>
        </w:r>
      </w:hyperlink>
      <w:r w:rsidRPr="00874A27">
        <w:rPr>
          <w:rFonts w:ascii="Arial" w:eastAsia="Times New Roman" w:hAnsi="Arial" w:cs="Arial"/>
          <w:color w:val="000000"/>
          <w:sz w:val="19"/>
          <w:szCs w:val="19"/>
          <w:lang w:eastAsia="fr-FR"/>
        </w:rPr>
        <w:t>et </w:t>
      </w:r>
      <w:hyperlink r:id="rId66" w:history="1">
        <w:r w:rsidRPr="00874A27">
          <w:rPr>
            <w:rFonts w:ascii="Arial" w:eastAsia="Times New Roman" w:hAnsi="Arial" w:cs="Arial"/>
            <w:color w:val="336699"/>
            <w:sz w:val="19"/>
            <w:szCs w:val="19"/>
            <w:u w:val="single"/>
            <w:lang w:eastAsia="fr-FR"/>
          </w:rPr>
          <w:t>L. 831-3 </w:t>
        </w:r>
      </w:hyperlink>
      <w:r w:rsidRPr="00874A27">
        <w:rPr>
          <w:rFonts w:ascii="Arial" w:eastAsia="Times New Roman" w:hAnsi="Arial" w:cs="Arial"/>
          <w:color w:val="000000"/>
          <w:sz w:val="19"/>
          <w:szCs w:val="19"/>
          <w:lang w:eastAsia="fr-FR"/>
        </w:rPr>
        <w:t>du code de la sécurité sociale, tient lieu de demande de mise en conformité par le locataire. » ;</w:t>
      </w:r>
      <w:r w:rsidRPr="00874A27">
        <w:rPr>
          <w:rFonts w:ascii="Arial" w:eastAsia="Times New Roman" w:hAnsi="Arial" w:cs="Arial"/>
          <w:color w:val="000000"/>
          <w:sz w:val="19"/>
          <w:szCs w:val="19"/>
          <w:lang w:eastAsia="fr-FR"/>
        </w:rPr>
        <w:br/>
        <w:t>8° L'article 21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à la première phrase, après le mot : « bailleur », sont insérés les mots : « ou son mandataire » ;</w:t>
      </w:r>
      <w:r w:rsidRPr="00874A27">
        <w:rPr>
          <w:rFonts w:ascii="Arial" w:eastAsia="Times New Roman" w:hAnsi="Arial" w:cs="Arial"/>
          <w:color w:val="000000"/>
          <w:sz w:val="19"/>
          <w:szCs w:val="19"/>
          <w:lang w:eastAsia="fr-FR"/>
        </w:rPr>
        <w:br/>
        <w:t>― à la seconde phrase, les mots : «, le droit de bail » sont supprimés ;</w:t>
      </w:r>
      <w:r w:rsidRPr="00874A27">
        <w:rPr>
          <w:rFonts w:ascii="Arial" w:eastAsia="Times New Roman" w:hAnsi="Arial" w:cs="Arial"/>
          <w:color w:val="000000"/>
          <w:sz w:val="19"/>
          <w:szCs w:val="19"/>
          <w:lang w:eastAsia="fr-FR"/>
        </w:rPr>
        <w:br/>
        <w:t>b) Après le premier alinéa, sont insérés deux alinéas ainsi rédigés :</w:t>
      </w:r>
      <w:r w:rsidRPr="00874A27">
        <w:rPr>
          <w:rFonts w:ascii="Arial" w:eastAsia="Times New Roman" w:hAnsi="Arial" w:cs="Arial"/>
          <w:color w:val="000000"/>
          <w:sz w:val="19"/>
          <w:szCs w:val="19"/>
          <w:lang w:eastAsia="fr-FR"/>
        </w:rPr>
        <w:br/>
        <w:t>« Aucuns frais liés à la gestion de l'avis d'échéance ou de la quittance ne peuvent être facturés au locataire.</w:t>
      </w:r>
      <w:r w:rsidRPr="00874A27">
        <w:rPr>
          <w:rFonts w:ascii="Arial" w:eastAsia="Times New Roman" w:hAnsi="Arial" w:cs="Arial"/>
          <w:color w:val="000000"/>
          <w:sz w:val="19"/>
          <w:szCs w:val="19"/>
          <w:lang w:eastAsia="fr-FR"/>
        </w:rPr>
        <w:br/>
        <w:t>« Avec l'accord exprès du locataire, le bailleur peut procéder à la transmission dématérialisée de la quittance. » ;</w:t>
      </w:r>
      <w:r w:rsidRPr="00874A27">
        <w:rPr>
          <w:rFonts w:ascii="Arial" w:eastAsia="Times New Roman" w:hAnsi="Arial" w:cs="Arial"/>
          <w:color w:val="000000"/>
          <w:sz w:val="19"/>
          <w:szCs w:val="19"/>
          <w:lang w:eastAsia="fr-FR"/>
        </w:rPr>
        <w:br/>
        <w:t>9° L'article 22 est ainsi modifié :</w:t>
      </w:r>
      <w:r w:rsidRPr="00874A27">
        <w:rPr>
          <w:rFonts w:ascii="Arial" w:eastAsia="Times New Roman" w:hAnsi="Arial" w:cs="Arial"/>
          <w:color w:val="000000"/>
          <w:sz w:val="19"/>
          <w:szCs w:val="19"/>
          <w:lang w:eastAsia="fr-FR"/>
        </w:rPr>
        <w:br/>
        <w:t>a) Le troisième alinéa est ainsi modifié :</w:t>
      </w:r>
      <w:r w:rsidRPr="00874A27">
        <w:rPr>
          <w:rFonts w:ascii="Arial" w:eastAsia="Times New Roman" w:hAnsi="Arial" w:cs="Arial"/>
          <w:color w:val="000000"/>
          <w:sz w:val="19"/>
          <w:szCs w:val="19"/>
          <w:lang w:eastAsia="fr-FR"/>
        </w:rPr>
        <w:br/>
        <w:t>― les mots : « restitution des clés par le locataire » sont remplacés par les mots : « remise en main propre, ou par lettre recommandée avec demande d'avis de réception, des clés au bailleur ou à son mandataire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A cette fin, le locataire indique au bailleur ou à son mandataire, lors de la remise des clés, l'adresse de son nouveau domicile. » ;</w:t>
      </w:r>
      <w:r w:rsidRPr="00874A27">
        <w:rPr>
          <w:rFonts w:ascii="Arial" w:eastAsia="Times New Roman" w:hAnsi="Arial" w:cs="Arial"/>
          <w:color w:val="000000"/>
          <w:sz w:val="19"/>
          <w:szCs w:val="19"/>
          <w:lang w:eastAsia="fr-FR"/>
        </w:rPr>
        <w:br/>
        <w:t>b) Après le troisième alinéa, sont insérés deux alinéas ainsi rédigés :</w:t>
      </w:r>
      <w:r w:rsidRPr="00874A27">
        <w:rPr>
          <w:rFonts w:ascii="Arial" w:eastAsia="Times New Roman" w:hAnsi="Arial" w:cs="Arial"/>
          <w:color w:val="000000"/>
          <w:sz w:val="19"/>
          <w:szCs w:val="19"/>
          <w:lang w:eastAsia="fr-FR"/>
        </w:rPr>
        <w:br/>
        <w:t>« Il est restitué dans un délai maximal d'un mois à compter de la remise des clés par le locataire lorsque l'état des lieux de sortie est conforme à l'état des lieux d'entrée, déduction faite, le cas échéant, des sommes restant dues au bailleur et des sommes dont celui-ci pourrait être tenu, en lieu et place du locataire, sous réserve qu'elles soient dûment justifiées.</w:t>
      </w:r>
      <w:r w:rsidRPr="00874A27">
        <w:rPr>
          <w:rFonts w:ascii="Arial" w:eastAsia="Times New Roman" w:hAnsi="Arial" w:cs="Arial"/>
          <w:color w:val="000000"/>
          <w:sz w:val="19"/>
          <w:szCs w:val="19"/>
          <w:lang w:eastAsia="fr-FR"/>
        </w:rPr>
        <w:br/>
        <w:t>« Lorsque les locaux loués se situent dans un immeuble collectif, le bailleur procède à un arrêté des comptes provisoire et peut, lorsqu'elle est dûment justifiée, conserver une provision ne pouvant excéder 20 % du montant du dépôt de garantie jusqu'à l'arrêté annuel des comptes de l'immeuble. La régularisation définitive et la restitution du solde, déduction faite, le cas échéant, des sommes restant dues au bailleur et des sommes dont celui-ci pourrait être tenu en lieu et place du locataire, sont effectuées dans le mois qui suit l'approbation définitive des comptes de l'immeuble. Toutefois, les parties peuvent amiablement convenir de solder immédiatement l'ensemble des comptes.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c) L'avant-dernier alinéa est ainsi rédigé :</w:t>
      </w:r>
      <w:r w:rsidRPr="00874A27">
        <w:rPr>
          <w:rFonts w:ascii="Arial" w:eastAsia="Times New Roman" w:hAnsi="Arial" w:cs="Arial"/>
          <w:color w:val="000000"/>
          <w:sz w:val="19"/>
          <w:szCs w:val="19"/>
          <w:lang w:eastAsia="fr-FR"/>
        </w:rPr>
        <w:br/>
        <w:t>« A défaut de restitution dans les délais prévus, le dépôt de garantie restant dû au locataire est majoré d'une somme égale à 10 % du loyer mensuel en principal, pour chaque période mensuelle commencée en retard. Cette majoration n'est pas due lorsque l'origine du défaut de restitution dans les délais résulte de l'absence de transmission par le locataire de l'adresse de son nouveau domicile. » ;</w:t>
      </w:r>
      <w:r w:rsidRPr="00874A27">
        <w:rPr>
          <w:rFonts w:ascii="Arial" w:eastAsia="Times New Roman" w:hAnsi="Arial" w:cs="Arial"/>
          <w:color w:val="000000"/>
          <w:sz w:val="19"/>
          <w:szCs w:val="19"/>
          <w:lang w:eastAsia="fr-FR"/>
        </w:rPr>
        <w:br/>
        <w:t>10° Le premier alinéa de l'article 22-1 est ainsi modifié :</w:t>
      </w:r>
      <w:r w:rsidRPr="00874A27">
        <w:rPr>
          <w:rFonts w:ascii="Arial" w:eastAsia="Times New Roman" w:hAnsi="Arial" w:cs="Arial"/>
          <w:color w:val="000000"/>
          <w:sz w:val="19"/>
          <w:szCs w:val="19"/>
          <w:lang w:eastAsia="fr-FR"/>
        </w:rPr>
        <w:br/>
        <w:t>― après le mot : « demandé », sont insérés les mots : «, à peine de nullité, » ;</w:t>
      </w:r>
      <w:r w:rsidRPr="00874A27">
        <w:rPr>
          <w:rFonts w:ascii="Arial" w:eastAsia="Times New Roman" w:hAnsi="Arial" w:cs="Arial"/>
          <w:color w:val="000000"/>
          <w:sz w:val="19"/>
          <w:szCs w:val="19"/>
          <w:lang w:eastAsia="fr-FR"/>
        </w:rPr>
        <w:br/>
        <w:t>― après les mots : « souscrit une assurance, », sont insérés les mots : « ou toute autre forme de garantie,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Cette disposition ne s'applique pas au dépôt de garantie mentionné à l'article 22. » ;</w:t>
      </w:r>
      <w:r w:rsidRPr="00874A27">
        <w:rPr>
          <w:rFonts w:ascii="Arial" w:eastAsia="Times New Roman" w:hAnsi="Arial" w:cs="Arial"/>
          <w:color w:val="000000"/>
          <w:sz w:val="19"/>
          <w:szCs w:val="19"/>
          <w:lang w:eastAsia="fr-FR"/>
        </w:rPr>
        <w:br/>
        <w:t>11° L'article 22-2 est ainsi rédigé :</w:t>
      </w:r>
      <w:r w:rsidRPr="00874A27">
        <w:rPr>
          <w:rFonts w:ascii="Arial" w:eastAsia="Times New Roman" w:hAnsi="Arial" w:cs="Arial"/>
          <w:color w:val="000000"/>
          <w:sz w:val="19"/>
          <w:szCs w:val="19"/>
          <w:lang w:eastAsia="fr-FR"/>
        </w:rPr>
        <w:br/>
        <w:t>« Art. 22-2.-La liste des pièces justificatives pouvant être exigées du candidat à la location ou de sa caution par le bailleur, préalablement à l'établissement du contrat de location, est définie par décret en Conseil d'Etat, pris après avis de la Commission nationale de concertation.</w:t>
      </w:r>
      <w:r w:rsidRPr="00874A27">
        <w:rPr>
          <w:rFonts w:ascii="Arial" w:eastAsia="Times New Roman" w:hAnsi="Arial" w:cs="Arial"/>
          <w:color w:val="000000"/>
          <w:sz w:val="19"/>
          <w:szCs w:val="19"/>
          <w:lang w:eastAsia="fr-FR"/>
        </w:rPr>
        <w:br/>
        <w:t>« En préalable à l'établissement du contrat de location, le bailleur ne peut imposer la cosignature d'un ascendant ou d'un descendant du candidat à la location.</w:t>
      </w:r>
      <w:r w:rsidRPr="00874A27">
        <w:rPr>
          <w:rFonts w:ascii="Arial" w:eastAsia="Times New Roman" w:hAnsi="Arial" w:cs="Arial"/>
          <w:color w:val="000000"/>
          <w:sz w:val="19"/>
          <w:szCs w:val="19"/>
          <w:lang w:eastAsia="fr-FR"/>
        </w:rPr>
        <w:br/>
        <w:t>« Les manquements au présent article sont punis d'une amende administrative, prononcée par le représentant de l'Etat dans le département, dont le montant ne peut être supérieur à 3 000 € pour une personne physique et à 15 000 € pour une personne morale.</w:t>
      </w:r>
      <w:r w:rsidRPr="00874A27">
        <w:rPr>
          <w:rFonts w:ascii="Arial" w:eastAsia="Times New Roman" w:hAnsi="Arial" w:cs="Arial"/>
          <w:color w:val="000000"/>
          <w:sz w:val="19"/>
          <w:szCs w:val="19"/>
          <w:lang w:eastAsia="fr-FR"/>
        </w:rPr>
        <w:br/>
        <w:t>« Le montant de l'amende est proportionné à la gravité des faits constatés.</w:t>
      </w:r>
      <w:r w:rsidRPr="00874A27">
        <w:rPr>
          <w:rFonts w:ascii="Arial" w:eastAsia="Times New Roman" w:hAnsi="Arial" w:cs="Arial"/>
          <w:color w:val="000000"/>
          <w:sz w:val="19"/>
          <w:szCs w:val="19"/>
          <w:lang w:eastAsia="fr-FR"/>
        </w:rPr>
        <w:br/>
        <w:t>« L'amende ne peut être prononcée plus d'un an à compter de la constatation des faits.</w:t>
      </w:r>
      <w:r w:rsidRPr="00874A27">
        <w:rPr>
          <w:rFonts w:ascii="Arial" w:eastAsia="Times New Roman" w:hAnsi="Arial" w:cs="Arial"/>
          <w:color w:val="000000"/>
          <w:sz w:val="19"/>
          <w:szCs w:val="19"/>
          <w:lang w:eastAsia="fr-FR"/>
        </w:rPr>
        <w:br/>
        <w:t>« L'amende est prononcée après que l'intéressé a été informé de la possibilité de présenter ses observations dans un délai déterminé. » ;</w:t>
      </w:r>
      <w:r w:rsidRPr="00874A27">
        <w:rPr>
          <w:rFonts w:ascii="Arial" w:eastAsia="Times New Roman" w:hAnsi="Arial" w:cs="Arial"/>
          <w:color w:val="000000"/>
          <w:sz w:val="19"/>
          <w:szCs w:val="19"/>
          <w:lang w:eastAsia="fr-FR"/>
        </w:rPr>
        <w:br/>
        <w:t>12° L'article 23 est ainsi modifié :</w:t>
      </w:r>
      <w:r w:rsidRPr="00874A27">
        <w:rPr>
          <w:rFonts w:ascii="Arial" w:eastAsia="Times New Roman" w:hAnsi="Arial" w:cs="Arial"/>
          <w:color w:val="000000"/>
          <w:sz w:val="19"/>
          <w:szCs w:val="19"/>
          <w:lang w:eastAsia="fr-FR"/>
        </w:rPr>
        <w:br/>
        <w:t>a) A la première phrase du sixième alinéa, les mots : « au moins » sont supprimés ;</w:t>
      </w:r>
      <w:r w:rsidRPr="00874A27">
        <w:rPr>
          <w:rFonts w:ascii="Arial" w:eastAsia="Times New Roman" w:hAnsi="Arial" w:cs="Arial"/>
          <w:color w:val="000000"/>
          <w:sz w:val="19"/>
          <w:szCs w:val="19"/>
          <w:lang w:eastAsia="fr-FR"/>
        </w:rPr>
        <w:br/>
        <w:t>b) La première phrase de l'avant-dernier alinéa est complétée par les mots : « et, le cas échéant, une note d'information sur les modalités de calcul des charges de chauffage et de production d'eau chaude sanitaire collectifs » ;</w:t>
      </w:r>
      <w:r w:rsidRPr="00874A27">
        <w:rPr>
          <w:rFonts w:ascii="Arial" w:eastAsia="Times New Roman" w:hAnsi="Arial" w:cs="Arial"/>
          <w:color w:val="000000"/>
          <w:sz w:val="19"/>
          <w:szCs w:val="19"/>
          <w:lang w:eastAsia="fr-FR"/>
        </w:rPr>
        <w:br/>
        <w:t>c) A la seconde phrase du même alinéa, le mot : « un » est remplacé par le mot : « six » et, après les mots : « sont tenues », sont insérés les mots : «, dans des conditions normales, » ;</w:t>
      </w:r>
      <w:r w:rsidRPr="00874A27">
        <w:rPr>
          <w:rFonts w:ascii="Arial" w:eastAsia="Times New Roman" w:hAnsi="Arial" w:cs="Arial"/>
          <w:color w:val="000000"/>
          <w:sz w:val="19"/>
          <w:szCs w:val="19"/>
          <w:lang w:eastAsia="fr-FR"/>
        </w:rPr>
        <w:br/>
        <w:t>d) Avant le dernier alinéa, sont insérés deux alinéas ainsi rédigés :</w:t>
      </w:r>
      <w:r w:rsidRPr="00874A27">
        <w:rPr>
          <w:rFonts w:ascii="Arial" w:eastAsia="Times New Roman" w:hAnsi="Arial" w:cs="Arial"/>
          <w:color w:val="000000"/>
          <w:sz w:val="19"/>
          <w:szCs w:val="19"/>
          <w:lang w:eastAsia="fr-FR"/>
        </w:rPr>
        <w:br/>
        <w:t>« A compter du 1er septembre 2015, le bailleur transmet également, à la demande du locataire, le récapitulatif des charges du logement par voie dématérialisée ou par voie postale.</w:t>
      </w:r>
      <w:r w:rsidRPr="00874A27">
        <w:rPr>
          <w:rFonts w:ascii="Arial" w:eastAsia="Times New Roman" w:hAnsi="Arial" w:cs="Arial"/>
          <w:color w:val="000000"/>
          <w:sz w:val="19"/>
          <w:szCs w:val="19"/>
          <w:lang w:eastAsia="fr-FR"/>
        </w:rPr>
        <w:br/>
        <w:t>« Lorsque la régularisation des charges n'a pas été effectuée avant le terme de l'année civile suivant l'année de leur exigibilité, le paiement par le locataire est effectué par douzième, s'il en fait la demande. » ;</w:t>
      </w:r>
      <w:r w:rsidRPr="00874A27">
        <w:rPr>
          <w:rFonts w:ascii="Arial" w:eastAsia="Times New Roman" w:hAnsi="Arial" w:cs="Arial"/>
          <w:color w:val="000000"/>
          <w:sz w:val="19"/>
          <w:szCs w:val="19"/>
          <w:lang w:eastAsia="fr-FR"/>
        </w:rPr>
        <w:br/>
        <w:t>13° L'article 24-1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à la première phrase, les mots : « et agréée à cette fin » sont supprimés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La collectivité territorialement compétente en matière d'habitat ainsi que les organismes payeurs des aides au logement territorialement compétents peuvent être destinataires du mandat à agir mentionné au présent alinéa. » ;</w:t>
      </w:r>
      <w:r w:rsidRPr="00874A27">
        <w:rPr>
          <w:rFonts w:ascii="Arial" w:eastAsia="Times New Roman" w:hAnsi="Arial" w:cs="Arial"/>
          <w:color w:val="000000"/>
          <w:sz w:val="19"/>
          <w:szCs w:val="19"/>
          <w:lang w:eastAsia="fr-FR"/>
        </w:rPr>
        <w:br/>
        <w:t>b) Au second alinéa, la référence : « au deuxième alinéa » est remplacée par les références : « aux 1° à 3° » ;</w:t>
      </w:r>
      <w:r w:rsidRPr="00874A27">
        <w:rPr>
          <w:rFonts w:ascii="Arial" w:eastAsia="Times New Roman" w:hAnsi="Arial" w:cs="Arial"/>
          <w:color w:val="000000"/>
          <w:sz w:val="19"/>
          <w:szCs w:val="19"/>
          <w:lang w:eastAsia="fr-FR"/>
        </w:rPr>
        <w:br/>
        <w:t>14° L'article 25 est ainsi rédigé :</w:t>
      </w:r>
      <w:r w:rsidRPr="00874A27">
        <w:rPr>
          <w:rFonts w:ascii="Arial" w:eastAsia="Times New Roman" w:hAnsi="Arial" w:cs="Arial"/>
          <w:color w:val="000000"/>
          <w:sz w:val="19"/>
          <w:szCs w:val="19"/>
          <w:lang w:eastAsia="fr-FR"/>
        </w:rPr>
        <w:br/>
        <w:t>« Art. 25.-Les décrets pris en application des articles 7 et 18 abrogés et de l'</w:t>
      </w:r>
      <w:hyperlink r:id="rId67" w:history="1">
        <w:r w:rsidRPr="00874A27">
          <w:rPr>
            <w:rFonts w:ascii="Arial" w:eastAsia="Times New Roman" w:hAnsi="Arial" w:cs="Arial"/>
            <w:color w:val="336699"/>
            <w:sz w:val="19"/>
            <w:szCs w:val="19"/>
            <w:u w:val="single"/>
            <w:lang w:eastAsia="fr-FR"/>
          </w:rPr>
          <w:t>article 29 modifié de la loi n° 86-1290 du 23 décembre 1986 </w:t>
        </w:r>
      </w:hyperlink>
      <w:r w:rsidRPr="00874A27">
        <w:rPr>
          <w:rFonts w:ascii="Arial" w:eastAsia="Times New Roman" w:hAnsi="Arial" w:cs="Arial"/>
          <w:color w:val="000000"/>
          <w:sz w:val="19"/>
          <w:szCs w:val="19"/>
          <w:lang w:eastAsia="fr-FR"/>
        </w:rPr>
        <w:t>tendant à favoriser l'investissement locatif, l'accession à la propriété de logements sociaux et le développement de l'offre foncière restent en vigueur pour l'application de la présente loi jusqu'à l'intervention des décrets correspondants pris en application de la présente loi. »</w:t>
      </w:r>
      <w:r w:rsidRPr="00874A27">
        <w:rPr>
          <w:rFonts w:ascii="Arial" w:eastAsia="Times New Roman" w:hAnsi="Arial" w:cs="Arial"/>
          <w:color w:val="000000"/>
          <w:sz w:val="19"/>
          <w:szCs w:val="19"/>
          <w:lang w:eastAsia="fr-FR"/>
        </w:rPr>
        <w:br/>
        <w:t>II. ― La même loi est ainsi modifiée :</w:t>
      </w:r>
      <w:r w:rsidRPr="00874A27">
        <w:rPr>
          <w:rFonts w:ascii="Arial" w:eastAsia="Times New Roman" w:hAnsi="Arial" w:cs="Arial"/>
          <w:color w:val="000000"/>
          <w:sz w:val="19"/>
          <w:szCs w:val="19"/>
          <w:lang w:eastAsia="fr-FR"/>
        </w:rPr>
        <w:br/>
        <w:t>1° A la fin de la dernière phrase du quatrième alinéa de l'article 10, la référence : « au c de l'article 17 » est remplacée par la référence : « à l'article 17-2 » ;</w:t>
      </w:r>
      <w:r w:rsidRPr="00874A27">
        <w:rPr>
          <w:rFonts w:ascii="Arial" w:eastAsia="Times New Roman" w:hAnsi="Arial" w:cs="Arial"/>
          <w:color w:val="000000"/>
          <w:sz w:val="19"/>
          <w:szCs w:val="19"/>
          <w:lang w:eastAsia="fr-FR"/>
        </w:rPr>
        <w:br/>
        <w:t>2° A la fin du dernier alinéa de l'article 11, la référence : « au deuxième alinéa du d de l'article 17 » est remplacée par la référence : « à l'article 17-1 ».</w:t>
      </w:r>
      <w:r w:rsidRPr="00874A27">
        <w:rPr>
          <w:rFonts w:ascii="Arial" w:eastAsia="Times New Roman" w:hAnsi="Arial" w:cs="Arial"/>
          <w:color w:val="000000"/>
          <w:sz w:val="19"/>
          <w:szCs w:val="19"/>
          <w:lang w:eastAsia="fr-FR"/>
        </w:rPr>
        <w:br/>
        <w:t>III. ― Le code de la construction et de l'habitation est ainsi modifié :</w:t>
      </w:r>
      <w:r w:rsidRPr="00874A27">
        <w:rPr>
          <w:rFonts w:ascii="Arial" w:eastAsia="Times New Roman" w:hAnsi="Arial" w:cs="Arial"/>
          <w:color w:val="000000"/>
          <w:sz w:val="19"/>
          <w:szCs w:val="19"/>
          <w:lang w:eastAsia="fr-FR"/>
        </w:rPr>
        <w:br/>
        <w:t>1° A la dernière phrase du huitième alinéa de l'article L. 351-3, la référence : « 17 » est remplacée par la référence : « 17-1 » ;</w:t>
      </w:r>
      <w:r w:rsidRPr="00874A27">
        <w:rPr>
          <w:rFonts w:ascii="Arial" w:eastAsia="Times New Roman" w:hAnsi="Arial" w:cs="Arial"/>
          <w:color w:val="000000"/>
          <w:sz w:val="19"/>
          <w:szCs w:val="19"/>
          <w:lang w:eastAsia="fr-FR"/>
        </w:rPr>
        <w:br/>
        <w:t>2° A la première phrase du premier alinéa de l'article L. 353-9-2, la référence : « d de l'article 17 » est remplacée par la référence : « I de l'article 17-1 » ;</w:t>
      </w:r>
      <w:r w:rsidRPr="00874A27">
        <w:rPr>
          <w:rFonts w:ascii="Arial" w:eastAsia="Times New Roman" w:hAnsi="Arial" w:cs="Arial"/>
          <w:color w:val="000000"/>
          <w:sz w:val="19"/>
          <w:szCs w:val="19"/>
          <w:lang w:eastAsia="fr-FR"/>
        </w:rPr>
        <w:br/>
        <w:t>3° L'article L. 411-5 est ainsi modifié :</w:t>
      </w:r>
      <w:r w:rsidRPr="00874A27">
        <w:rPr>
          <w:rFonts w:ascii="Arial" w:eastAsia="Times New Roman" w:hAnsi="Arial" w:cs="Arial"/>
          <w:color w:val="000000"/>
          <w:sz w:val="19"/>
          <w:szCs w:val="19"/>
          <w:lang w:eastAsia="fr-FR"/>
        </w:rPr>
        <w:br/>
        <w:t>a) A l'avant-dernière phrase, la référence : « des dispositions du b de l'article 17 » est remplacée par la référence : « de l'article 17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b) A la dernière phrase, les références : « des c et d de l'article 17 » sont remplacées par les références : « du II de l'article 17-1 et de l'article 17-2 » ;</w:t>
      </w:r>
      <w:r w:rsidRPr="00874A27">
        <w:rPr>
          <w:rFonts w:ascii="Arial" w:eastAsia="Times New Roman" w:hAnsi="Arial" w:cs="Arial"/>
          <w:color w:val="000000"/>
          <w:sz w:val="19"/>
          <w:szCs w:val="19"/>
          <w:lang w:eastAsia="fr-FR"/>
        </w:rPr>
        <w:br/>
        <w:t>4° Au dernier alinéa de l'article L. 441-1, la référence : « 17 » est remplacée par la référence : « 17-1 » ;</w:t>
      </w:r>
      <w:r w:rsidRPr="00874A27">
        <w:rPr>
          <w:rFonts w:ascii="Arial" w:eastAsia="Times New Roman" w:hAnsi="Arial" w:cs="Arial"/>
          <w:color w:val="000000"/>
          <w:sz w:val="19"/>
          <w:szCs w:val="19"/>
          <w:lang w:eastAsia="fr-FR"/>
        </w:rPr>
        <w:br/>
        <w:t>5° L'article L. 445-4 est ainsi modifié :</w:t>
      </w:r>
      <w:r w:rsidRPr="00874A27">
        <w:rPr>
          <w:rFonts w:ascii="Arial" w:eastAsia="Times New Roman" w:hAnsi="Arial" w:cs="Arial"/>
          <w:color w:val="000000"/>
          <w:sz w:val="19"/>
          <w:szCs w:val="19"/>
          <w:lang w:eastAsia="fr-FR"/>
        </w:rPr>
        <w:br/>
        <w:t>a) Au deuxième alinéa, la référence : « au d de l'article 17 » est remplacée par la référence : « à l'article 17-1 » ;</w:t>
      </w:r>
      <w:r w:rsidRPr="00874A27">
        <w:rPr>
          <w:rFonts w:ascii="Arial" w:eastAsia="Times New Roman" w:hAnsi="Arial" w:cs="Arial"/>
          <w:color w:val="000000"/>
          <w:sz w:val="19"/>
          <w:szCs w:val="19"/>
          <w:lang w:eastAsia="fr-FR"/>
        </w:rPr>
        <w:br/>
        <w:t>b) A la seconde phrase du quatrième alinéa, la référence : « du d de l'article 17 » est remplacée par la référence : « de l'article 17-1 ».</w:t>
      </w:r>
      <w:r w:rsidRPr="00874A27">
        <w:rPr>
          <w:rFonts w:ascii="Arial" w:eastAsia="Times New Roman" w:hAnsi="Arial" w:cs="Arial"/>
          <w:color w:val="000000"/>
          <w:sz w:val="19"/>
          <w:szCs w:val="19"/>
          <w:lang w:eastAsia="fr-FR"/>
        </w:rPr>
        <w:br/>
        <w:t>IV.-Le code de la sécurité sociale est ainsi modifié :</w:t>
      </w:r>
      <w:r w:rsidRPr="00874A27">
        <w:rPr>
          <w:rFonts w:ascii="Arial" w:eastAsia="Times New Roman" w:hAnsi="Arial" w:cs="Arial"/>
          <w:color w:val="000000"/>
          <w:sz w:val="19"/>
          <w:szCs w:val="19"/>
          <w:lang w:eastAsia="fr-FR"/>
        </w:rPr>
        <w:br/>
        <w:t>1° A la seconde phrase du deuxième alinéa de l'article L. 542-5, la référence : « 17 » est remplacée par la référence : « 17-1 » ;</w:t>
      </w:r>
      <w:r w:rsidRPr="00874A27">
        <w:rPr>
          <w:rFonts w:ascii="Arial" w:eastAsia="Times New Roman" w:hAnsi="Arial" w:cs="Arial"/>
          <w:color w:val="000000"/>
          <w:sz w:val="19"/>
          <w:szCs w:val="19"/>
          <w:lang w:eastAsia="fr-FR"/>
        </w:rPr>
        <w:br/>
        <w:t>2° A la seconde phrase du troisième alinéa de l'article L. 831-4, la référence : « 17 » est remplacée par la référence : « 17-1 ».</w:t>
      </w:r>
      <w:r w:rsidRPr="00874A27">
        <w:rPr>
          <w:rFonts w:ascii="Arial" w:eastAsia="Times New Roman" w:hAnsi="Arial" w:cs="Arial"/>
          <w:color w:val="000000"/>
          <w:sz w:val="19"/>
          <w:szCs w:val="19"/>
          <w:lang w:eastAsia="fr-FR"/>
        </w:rPr>
        <w:br/>
        <w:t>V. ― La loi n° 86-1290 du 23 décembre 1986 tendant à favoriser l'investissement locatif, l'accession à la propriété de logements sociaux et le développement de l'offre foncière est ainsi modifiée :</w:t>
      </w:r>
      <w:r w:rsidRPr="00874A27">
        <w:rPr>
          <w:rFonts w:ascii="Arial" w:eastAsia="Times New Roman" w:hAnsi="Arial" w:cs="Arial"/>
          <w:color w:val="000000"/>
          <w:sz w:val="19"/>
          <w:szCs w:val="19"/>
          <w:lang w:eastAsia="fr-FR"/>
        </w:rPr>
        <w:br/>
        <w:t>1° A l'avant-dernier alinéa de l'article 25, la référence : « au b » est remplacée par les références : « aux II ou III de l'article 17 » ;</w:t>
      </w:r>
      <w:r w:rsidRPr="00874A27">
        <w:rPr>
          <w:rFonts w:ascii="Arial" w:eastAsia="Times New Roman" w:hAnsi="Arial" w:cs="Arial"/>
          <w:color w:val="000000"/>
          <w:sz w:val="19"/>
          <w:szCs w:val="19"/>
          <w:lang w:eastAsia="fr-FR"/>
        </w:rPr>
        <w:br/>
        <w:t>2° A la seconde phrase du second alinéa de l'article 30, la référence : « d de l'article 17 » est remplacée par la référence : « I de l'article 17-1 ».</w:t>
      </w:r>
      <w:r w:rsidRPr="00874A27">
        <w:rPr>
          <w:rFonts w:ascii="Arial" w:eastAsia="Times New Roman" w:hAnsi="Arial" w:cs="Arial"/>
          <w:color w:val="000000"/>
          <w:sz w:val="19"/>
          <w:szCs w:val="19"/>
          <w:lang w:eastAsia="fr-FR"/>
        </w:rPr>
        <w:br/>
        <w:t>VI. ― Au premier alinéa de l'article L. 321-11-1 du code de la construction et de l'habitation, la référence : « au c de l'article 17 » est remplacée par la référence : « à l'article 17-2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6" w:name="JORFARTI000028772482"/>
      <w:bookmarkEnd w:id="6"/>
      <w:r w:rsidRPr="00874A27">
        <w:rPr>
          <w:rFonts w:ascii="Arial" w:eastAsia="Times New Roman" w:hAnsi="Arial" w:cs="Arial"/>
          <w:b/>
          <w:bCs/>
          <w:color w:val="000000"/>
          <w:sz w:val="23"/>
          <w:szCs w:val="23"/>
          <w:lang w:eastAsia="fr-FR"/>
        </w:rPr>
        <w:t>Article 7 </w:t>
      </w:r>
      <w:hyperlink r:id="rId68" w:tooltip="En savoir plus sur l'article 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Gouvernement remet un rapport au Parlement sur la possibilité de sanctuariser les dépôts de garantie par la création d'un dispositif permettant que la garantie locative soit déposée sur un compte ouvert auprès d'une institution financière, au nom du locataire et déblocable d'un commun accord entre le locataire et le bailleur.</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7" w:name="JORFARTI000028772483"/>
      <w:bookmarkEnd w:id="7"/>
      <w:r w:rsidRPr="00874A27">
        <w:rPr>
          <w:rFonts w:ascii="Arial" w:eastAsia="Times New Roman" w:hAnsi="Arial" w:cs="Arial"/>
          <w:b/>
          <w:bCs/>
          <w:color w:val="000000"/>
          <w:sz w:val="23"/>
          <w:szCs w:val="23"/>
          <w:lang w:eastAsia="fr-FR"/>
        </w:rPr>
        <w:t>Article 8 </w:t>
      </w:r>
      <w:hyperlink r:id="rId69" w:tooltip="En savoir plus sur l'article 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le titre Ier de la loi n° 89-462 du 6 juillet 1989 précitée, il est inséré un titre Ier bis ainsi rédigé :</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Ier BIS</w:t>
      </w:r>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 DES RAPPORTS ENTRE BAILLEURS ET LOCATAIRES DANS LES LOGEMENTS MEUBLÉS RÉSIDENCE PRINCIPALE</w:t>
      </w:r>
      <w:r w:rsidRPr="00874A27">
        <w:rPr>
          <w:rFonts w:ascii="Arial" w:eastAsia="Times New Roman" w:hAnsi="Arial" w:cs="Arial"/>
          <w:color w:val="000000"/>
          <w:sz w:val="19"/>
          <w:szCs w:val="19"/>
          <w:lang w:eastAsia="fr-FR"/>
        </w:rPr>
        <w:br/>
        <w:t>« Art. 25-3. - Les dispositions du présent titre sont d'ordre public et s'appliquent aux contrats de location de logements meublés tels que définis à l'article 25-4 dès lors qu'ils constituent la résidence principale du locataire au sens de l'article 2.</w:t>
      </w:r>
      <w:r w:rsidRPr="00874A27">
        <w:rPr>
          <w:rFonts w:ascii="Arial" w:eastAsia="Times New Roman" w:hAnsi="Arial" w:cs="Arial"/>
          <w:color w:val="000000"/>
          <w:sz w:val="19"/>
          <w:szCs w:val="19"/>
          <w:lang w:eastAsia="fr-FR"/>
        </w:rPr>
        <w:br/>
        <w:t>« Les articles 1er, 3-2, 3-3, 4, à l'exception du l, 5, 6, 7, 7-1, 8, 8-1, 18, 20-1, 21, 22, 22-1, 22-2, 24 et 24-1 sont applicables aux logements meublés.</w:t>
      </w:r>
      <w:r w:rsidRPr="00874A27">
        <w:rPr>
          <w:rFonts w:ascii="Arial" w:eastAsia="Times New Roman" w:hAnsi="Arial" w:cs="Arial"/>
          <w:color w:val="000000"/>
          <w:sz w:val="19"/>
          <w:szCs w:val="19"/>
          <w:lang w:eastAsia="fr-FR"/>
        </w:rPr>
        <w:br/>
        <w:t>« Le présent titre ne s'applique ni aux logements-foyers, ni aux logements faisant l'objet d'une convention avec l'Etat portant sur leurs conditions d'occupation et leurs modalités d'attribution.</w:t>
      </w:r>
      <w:r w:rsidRPr="00874A27">
        <w:rPr>
          <w:rFonts w:ascii="Arial" w:eastAsia="Times New Roman" w:hAnsi="Arial" w:cs="Arial"/>
          <w:color w:val="000000"/>
          <w:sz w:val="19"/>
          <w:szCs w:val="19"/>
          <w:lang w:eastAsia="fr-FR"/>
        </w:rPr>
        <w:br/>
        <w:t>« Le présent titre ne s'applique ni aux logements attribués ou loués en raison de l'exercice d'une fonction ou de l'occupation d'un emploi, ni aux locations consenties aux travailleurs saisonniers.</w:t>
      </w:r>
      <w:r w:rsidRPr="00874A27">
        <w:rPr>
          <w:rFonts w:ascii="Arial" w:eastAsia="Times New Roman" w:hAnsi="Arial" w:cs="Arial"/>
          <w:color w:val="000000"/>
          <w:sz w:val="19"/>
          <w:szCs w:val="19"/>
          <w:lang w:eastAsia="fr-FR"/>
        </w:rPr>
        <w:br/>
        <w:t>« Art. 25-4. - Un logement meublé est un logement décent équipé d'un mobilier en nombre et en qualité suffisants pour permettre au locataire d'y dormir, manger et vivre convenablement au regard des exigences de la vie courante.</w:t>
      </w:r>
      <w:r w:rsidRPr="00874A27">
        <w:rPr>
          <w:rFonts w:ascii="Arial" w:eastAsia="Times New Roman" w:hAnsi="Arial" w:cs="Arial"/>
          <w:color w:val="000000"/>
          <w:sz w:val="19"/>
          <w:szCs w:val="19"/>
          <w:lang w:eastAsia="fr-FR"/>
        </w:rPr>
        <w:br/>
        <w:t>« La liste des éléments que doit comporter ce mobilier est fixée par décret.</w:t>
      </w:r>
      <w:r w:rsidRPr="00874A27">
        <w:rPr>
          <w:rFonts w:ascii="Arial" w:eastAsia="Times New Roman" w:hAnsi="Arial" w:cs="Arial"/>
          <w:color w:val="000000"/>
          <w:sz w:val="19"/>
          <w:szCs w:val="19"/>
          <w:lang w:eastAsia="fr-FR"/>
        </w:rPr>
        <w:br/>
        <w:t>« Art. 25-5. - Un inventaire et un état détaillé du mobilier sont établis dans les mêmes formes et en autant d'exemplaires que de parties lors de la remise et de la restitution des clés. Ces documents, établis contradictoirement et amiablement, sont signés par les parties ou par un tiers mandaté par elles et joints au contrat de location. Ces documents ne peuvent donner lieu à aucune autre facturation que celle liée à l'établissement de l'état des lieux.</w:t>
      </w:r>
      <w:r w:rsidRPr="00874A27">
        <w:rPr>
          <w:rFonts w:ascii="Arial" w:eastAsia="Times New Roman" w:hAnsi="Arial" w:cs="Arial"/>
          <w:color w:val="000000"/>
          <w:sz w:val="19"/>
          <w:szCs w:val="19"/>
          <w:lang w:eastAsia="fr-FR"/>
        </w:rPr>
        <w:br/>
        <w:t>« Art. 25-6. - Par dérogation à l'article 22, le montant du dépôt de garantie exigible par le bailleur est limité à deux mois de loyer en principal.</w:t>
      </w:r>
      <w:r w:rsidRPr="00874A27">
        <w:rPr>
          <w:rFonts w:ascii="Arial" w:eastAsia="Times New Roman" w:hAnsi="Arial" w:cs="Arial"/>
          <w:color w:val="000000"/>
          <w:sz w:val="19"/>
          <w:szCs w:val="19"/>
          <w:lang w:eastAsia="fr-FR"/>
        </w:rPr>
        <w:br/>
        <w:t>« Art. 25-7. - Le contrat de location est établi par écrit et respecte un contrat type défini par décret en Conseil d'Etat, pris après avis de la Commission nationale de concertation.</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Il est conclu pour une durée d'au moins un an.</w:t>
      </w:r>
      <w:r w:rsidRPr="00874A27">
        <w:rPr>
          <w:rFonts w:ascii="Arial" w:eastAsia="Times New Roman" w:hAnsi="Arial" w:cs="Arial"/>
          <w:color w:val="000000"/>
          <w:sz w:val="19"/>
          <w:szCs w:val="19"/>
          <w:lang w:eastAsia="fr-FR"/>
        </w:rPr>
        <w:br/>
        <w:t>« Si les parties au contrat ne donnent pas congé dans les conditions prévues à l'article 25-8, le contrat de location parvenu à son terme est reconduit tacitement pour une durée d'un an.</w:t>
      </w:r>
      <w:r w:rsidRPr="00874A27">
        <w:rPr>
          <w:rFonts w:ascii="Arial" w:eastAsia="Times New Roman" w:hAnsi="Arial" w:cs="Arial"/>
          <w:color w:val="000000"/>
          <w:sz w:val="19"/>
          <w:szCs w:val="19"/>
          <w:lang w:eastAsia="fr-FR"/>
        </w:rPr>
        <w:br/>
        <w:t>« Lorsque la location est consentie à un étudiant, la durée du bail peut être réduite à neuf mois. Dans ce cas, la reconduction tacite prévue au troisième alinéa du présent article est inapplicable.</w:t>
      </w:r>
      <w:r w:rsidRPr="00874A27">
        <w:rPr>
          <w:rFonts w:ascii="Arial" w:eastAsia="Times New Roman" w:hAnsi="Arial" w:cs="Arial"/>
          <w:color w:val="000000"/>
          <w:sz w:val="19"/>
          <w:szCs w:val="19"/>
          <w:lang w:eastAsia="fr-FR"/>
        </w:rPr>
        <w:br/>
        <w:t>« Art. 25-8. - I. ― Le locataire peut résilier le contrat à tout moment, sous réserve du respect d'un préavis d'un mois, y compris lorsque la durée du bail est réduite à neuf mois.</w:t>
      </w:r>
      <w:r w:rsidRPr="00874A27">
        <w:rPr>
          <w:rFonts w:ascii="Arial" w:eastAsia="Times New Roman" w:hAnsi="Arial" w:cs="Arial"/>
          <w:color w:val="000000"/>
          <w:sz w:val="19"/>
          <w:szCs w:val="19"/>
          <w:lang w:eastAsia="fr-FR"/>
        </w:rPr>
        <w:br/>
        <w:t>« Le bailleur qui souhaite, à l'expiration du contrat, en modifier les conditions doit informer le locataire avec un préavis de trois mois. Si le locataire accepte les nouvelles conditions, le contrat est renouvelé pour un an.</w:t>
      </w:r>
      <w:r w:rsidRPr="00874A27">
        <w:rPr>
          <w:rFonts w:ascii="Arial" w:eastAsia="Times New Roman" w:hAnsi="Arial" w:cs="Arial"/>
          <w:color w:val="000000"/>
          <w:sz w:val="19"/>
          <w:szCs w:val="19"/>
          <w:lang w:eastAsia="fr-FR"/>
        </w:rPr>
        <w:br/>
        <w:t>« Lorsqu'il donne congé à son locataire pour reprendre le logement, le bailleur justifie du caractère réel et sérieux de sa décision de reprise.</w:t>
      </w:r>
      <w:r w:rsidRPr="00874A27">
        <w:rPr>
          <w:rFonts w:ascii="Arial" w:eastAsia="Times New Roman" w:hAnsi="Arial" w:cs="Arial"/>
          <w:color w:val="000000"/>
          <w:sz w:val="19"/>
          <w:szCs w:val="19"/>
          <w:lang w:eastAsia="fr-FR"/>
        </w:rPr>
        <w:br/>
        <w:t>« Le bailleur qui ne souhaite pas renouveler le contrat doit informer le locataire avec un préavis de trois mois et motiver son refus de renouvellement du bail soit par sa décision de reprendre ou de vendre le logement, soit par un motif légitime et sérieux, notamment l'inexécution par le locataire de l'une des obligations lui incombant.</w:t>
      </w:r>
      <w:r w:rsidRPr="00874A27">
        <w:rPr>
          <w:rFonts w:ascii="Arial" w:eastAsia="Times New Roman" w:hAnsi="Arial" w:cs="Arial"/>
          <w:color w:val="000000"/>
          <w:sz w:val="19"/>
          <w:szCs w:val="19"/>
          <w:lang w:eastAsia="fr-FR"/>
        </w:rPr>
        <w:br/>
        <w:t>« A peine de nullité, le congé donné par le bailleur doit indiquer le motif allégué et, en cas de reprise, les nom et adresse du bénéficiaire de la reprise ainsi que la nature du lien existant entre le bailleur et le bénéficiaire de la reprise qui ne peut être que le bailleur, son conjoint, le partenaire auquel il est lié par un pacte civil de solidarité enregistré à la date du congé, son concubin notoire depuis au moins un an à la date du congé, ses ascendants, ses descendants ou ceux de son conjoint, de son partenaire ou de son concubin notoire.</w:t>
      </w:r>
      <w:r w:rsidRPr="00874A27">
        <w:rPr>
          <w:rFonts w:ascii="Arial" w:eastAsia="Times New Roman" w:hAnsi="Arial" w:cs="Arial"/>
          <w:color w:val="000000"/>
          <w:sz w:val="19"/>
          <w:szCs w:val="19"/>
          <w:lang w:eastAsia="fr-FR"/>
        </w:rPr>
        <w:br/>
        <w:t>« En cas de contestation, le juge peut, même d'office, vérifier la réalité du motif du congé et le respect des obligations prévues au présent article. Il peut notamment déclarer non valide le congé si la non-reconduction du bail n'apparaît pas justifiée par des éléments sérieux et légitimes.</w:t>
      </w:r>
      <w:r w:rsidRPr="00874A27">
        <w:rPr>
          <w:rFonts w:ascii="Arial" w:eastAsia="Times New Roman" w:hAnsi="Arial" w:cs="Arial"/>
          <w:color w:val="000000"/>
          <w:sz w:val="19"/>
          <w:szCs w:val="19"/>
          <w:lang w:eastAsia="fr-FR"/>
        </w:rPr>
        <w:br/>
        <w:t>« Le congé doit être notifié par lettre recommandée avec demande d'avis de réception ou signifié par acte d'huissier. Ce délai court à compter du jour de la réception de la lettre recommandée ou de la signification de l'acte d'huissier.</w:t>
      </w:r>
      <w:r w:rsidRPr="00874A27">
        <w:rPr>
          <w:rFonts w:ascii="Arial" w:eastAsia="Times New Roman" w:hAnsi="Arial" w:cs="Arial"/>
          <w:color w:val="000000"/>
          <w:sz w:val="19"/>
          <w:szCs w:val="19"/>
          <w:lang w:eastAsia="fr-FR"/>
        </w:rPr>
        <w:br/>
        <w:t>« Pendant le délai de préavis, le locataire n'est redevable du loyer et des charges que pour le temps où il a occupé réellement les lieux si le congé a été notifié par le bailleur. Il est redevable du loyer et des charges relatifs à l'intégralité de la période couverte par le préavis si c'est lui qui a notifié le congé, sauf si le logement se trouve occupé avant la fin du préavis par un autre locataire en accord avec le bailleur.</w:t>
      </w:r>
      <w:r w:rsidRPr="00874A27">
        <w:rPr>
          <w:rFonts w:ascii="Arial" w:eastAsia="Times New Roman" w:hAnsi="Arial" w:cs="Arial"/>
          <w:color w:val="000000"/>
          <w:sz w:val="19"/>
          <w:szCs w:val="19"/>
          <w:lang w:eastAsia="fr-FR"/>
        </w:rPr>
        <w:br/>
        <w:t>« A l'expiration du délai de préavis, le locataire est déchu de tout titre d'occupation du logement loué.</w:t>
      </w:r>
      <w:r w:rsidRPr="00874A27">
        <w:rPr>
          <w:rFonts w:ascii="Arial" w:eastAsia="Times New Roman" w:hAnsi="Arial" w:cs="Arial"/>
          <w:color w:val="000000"/>
          <w:sz w:val="19"/>
          <w:szCs w:val="19"/>
          <w:lang w:eastAsia="fr-FR"/>
        </w:rPr>
        <w:br/>
        <w:t>« II. ― Le bailleur ne peut s'opposer au renouvellement du contrat en donnant congé dans les conditions définies au I à l'égard de tout locataire âgé de plus de soixante-cinq ans et dont les ressources annuelles sont inférieures à un plafond de ressources en vigueur pour l'attribution des logements locatifs conventionnés fixé par arrêté du ministre chargé du logement, sans qu'un logement correspondant à ses besoins et à ses possibilités lui soit offert dans les limites géographiques prévues à l'</w:t>
      </w:r>
      <w:hyperlink r:id="rId70" w:history="1">
        <w:r w:rsidRPr="00874A27">
          <w:rPr>
            <w:rFonts w:ascii="Arial" w:eastAsia="Times New Roman" w:hAnsi="Arial" w:cs="Arial"/>
            <w:color w:val="336699"/>
            <w:sz w:val="19"/>
            <w:szCs w:val="19"/>
            <w:u w:val="single"/>
            <w:lang w:eastAsia="fr-FR"/>
          </w:rPr>
          <w:t>article 13 bis de la loi n° 48-1360 du 1er septembre 1948 précitée</w:t>
        </w:r>
      </w:hyperlink>
      <w:r w:rsidRPr="00874A27">
        <w:rPr>
          <w:rFonts w:ascii="Arial" w:eastAsia="Times New Roman" w:hAnsi="Arial" w:cs="Arial"/>
          <w:color w:val="000000"/>
          <w:sz w:val="19"/>
          <w:szCs w:val="19"/>
          <w:lang w:eastAsia="fr-FR"/>
        </w:rPr>
        <w:t>. Le présent alinéa est applicable lorsque le locataire a à sa charge une personne vivant habituellement dans le logement et remplissant lesdites conditions.</w:t>
      </w:r>
      <w:r w:rsidRPr="00874A27">
        <w:rPr>
          <w:rFonts w:ascii="Arial" w:eastAsia="Times New Roman" w:hAnsi="Arial" w:cs="Arial"/>
          <w:color w:val="000000"/>
          <w:sz w:val="19"/>
          <w:szCs w:val="19"/>
          <w:lang w:eastAsia="fr-FR"/>
        </w:rPr>
        <w:br/>
        <w:t>« Toutefois, les dispositions du premier alinéa du présent II ne sont pas applicables lorsque le bailleur est une personne physique âgée de plus de soixante-cinq ans ou si ses ressources annuelles sont inférieures au plafond de ressources mentionné au même premier alinéa.</w:t>
      </w:r>
      <w:r w:rsidRPr="00874A27">
        <w:rPr>
          <w:rFonts w:ascii="Arial" w:eastAsia="Times New Roman" w:hAnsi="Arial" w:cs="Arial"/>
          <w:color w:val="000000"/>
          <w:sz w:val="19"/>
          <w:szCs w:val="19"/>
          <w:lang w:eastAsia="fr-FR"/>
        </w:rPr>
        <w:br/>
        <w:t>« L'âge du locataire ou de la personne à sa charge et celui du bailleur sont appréciés à la date d'échéance du contrat ; le montant de leurs ressources est apprécié à la date de notification du congé.</w:t>
      </w:r>
      <w:r w:rsidRPr="00874A27">
        <w:rPr>
          <w:rFonts w:ascii="Arial" w:eastAsia="Times New Roman" w:hAnsi="Arial" w:cs="Arial"/>
          <w:color w:val="000000"/>
          <w:sz w:val="19"/>
          <w:szCs w:val="19"/>
          <w:lang w:eastAsia="fr-FR"/>
        </w:rPr>
        <w:br/>
        <w:t>« III. ― Le fait pour un bailleur de délivrer un congé justifié frauduleusement par sa décision de reprendre ou de vendre le logement est puni d'une amende pénale dont le montant ne peut être supérieur à 6 000 € pour une personne physique et à 30 000 € pour une personne morale.</w:t>
      </w:r>
      <w:r w:rsidRPr="00874A27">
        <w:rPr>
          <w:rFonts w:ascii="Arial" w:eastAsia="Times New Roman" w:hAnsi="Arial" w:cs="Arial"/>
          <w:color w:val="000000"/>
          <w:sz w:val="19"/>
          <w:szCs w:val="19"/>
          <w:lang w:eastAsia="fr-FR"/>
        </w:rPr>
        <w:br/>
        <w:t>« Le montant de l'amende est proportionné à la gravité des faits constatés. Le locataire est redevable dans sa constitution de partie civile et la demande de réparation de son préjudice.</w:t>
      </w:r>
      <w:r w:rsidRPr="00874A27">
        <w:rPr>
          <w:rFonts w:ascii="Arial" w:eastAsia="Times New Roman" w:hAnsi="Arial" w:cs="Arial"/>
          <w:color w:val="000000"/>
          <w:sz w:val="19"/>
          <w:szCs w:val="19"/>
          <w:lang w:eastAsia="fr-FR"/>
        </w:rPr>
        <w:br/>
        <w:t>« Art. 25-9. - I. ― Le représentant de l'Etat dans le département fixe chaque année, par arrêté, dans les zones mentionnées au I de l'article 17, un loyer de référence, un loyer de référence majoré et un loyer de référence minoré par catégorie de logement et par secteur géographique. Le loyer de référence, le loyer de référence majoré et le loyer de référence minoré sont déterminés par l'application d'une majoration unitaire par mètre carré aux loyers de référence définis au I de l'article 17 pour tenir compte du caractère meublé du logement. Cette majoration est déterminée à partir des écarts constatés entre les loyers des logements loués nus et les loyers des logements loués meublés observés par l'observatoire local des loyers.</w:t>
      </w:r>
      <w:r w:rsidRPr="00874A27">
        <w:rPr>
          <w:rFonts w:ascii="Arial" w:eastAsia="Times New Roman" w:hAnsi="Arial" w:cs="Arial"/>
          <w:color w:val="000000"/>
          <w:sz w:val="19"/>
          <w:szCs w:val="19"/>
          <w:lang w:eastAsia="fr-FR"/>
        </w:rPr>
        <w:br/>
        <w:t>« Les compétences attribuées au représentant de l'Etat dans le département par le présent article sont exercées, dans la région d'Ile-de-France, par le représentant de l'Etat dans la région.</w:t>
      </w:r>
      <w:r w:rsidRPr="00874A27">
        <w:rPr>
          <w:rFonts w:ascii="Arial" w:eastAsia="Times New Roman" w:hAnsi="Arial" w:cs="Arial"/>
          <w:color w:val="000000"/>
          <w:sz w:val="19"/>
          <w:szCs w:val="19"/>
          <w:lang w:eastAsia="fr-FR"/>
        </w:rPr>
        <w:br/>
        <w:t xml:space="preserve">« Le II de l'article 17 et l'article 17-2 de la présente loi sont applicables aux logements meublés, en tenant compte des loyers de référence définis au premier alinéa du présent I. Pour l'application de ces articles, le complément de loyer [Dispositions déclarées non conformes à la Constitution par la décision </w:t>
      </w:r>
      <w:r w:rsidRPr="00874A27">
        <w:rPr>
          <w:rFonts w:ascii="Arial" w:eastAsia="Times New Roman" w:hAnsi="Arial" w:cs="Arial"/>
          <w:color w:val="000000"/>
          <w:sz w:val="19"/>
          <w:szCs w:val="19"/>
          <w:lang w:eastAsia="fr-FR"/>
        </w:rPr>
        <w:lastRenderedPageBreak/>
        <w:t>du Conseil constitutionnel n° 2014-691 DC du 20 mars 2014] tient compte des équipements et services associés aux logements meublés.</w:t>
      </w:r>
      <w:r w:rsidRPr="00874A27">
        <w:rPr>
          <w:rFonts w:ascii="Arial" w:eastAsia="Times New Roman" w:hAnsi="Arial" w:cs="Arial"/>
          <w:color w:val="000000"/>
          <w:sz w:val="19"/>
          <w:szCs w:val="19"/>
          <w:lang w:eastAsia="fr-FR"/>
        </w:rPr>
        <w:br/>
        <w:t>« II. ― Le présent article n'est pas applicable aux logements meublés situés dans une résidence avec services gérée selon un mode d'organisation adapté aux nécessités des résidents par un mandataire unique, définis au </w:t>
      </w:r>
      <w:hyperlink r:id="rId71" w:history="1">
        <w:r w:rsidRPr="00874A27">
          <w:rPr>
            <w:rFonts w:ascii="Arial" w:eastAsia="Times New Roman" w:hAnsi="Arial" w:cs="Arial"/>
            <w:color w:val="336699"/>
            <w:sz w:val="19"/>
            <w:szCs w:val="19"/>
            <w:u w:val="single"/>
            <w:lang w:eastAsia="fr-FR"/>
          </w:rPr>
          <w:t>c de l'article 261 D du code général des impôts</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III. ― Pour la révision du loyer, le I de l'article 17-1 est applicable aux logements meublés.</w:t>
      </w:r>
      <w:r w:rsidRPr="00874A27">
        <w:rPr>
          <w:rFonts w:ascii="Arial" w:eastAsia="Times New Roman" w:hAnsi="Arial" w:cs="Arial"/>
          <w:color w:val="000000"/>
          <w:sz w:val="19"/>
          <w:szCs w:val="19"/>
          <w:lang w:eastAsia="fr-FR"/>
        </w:rPr>
        <w:br/>
        <w:t>« Lorsque les parties sont convenues, par une clause expresse, de travaux d'amélioration du logement que le bailleur fera exécuter ou d'acquisition d'équipements par le bailleur en sus de l'équipement initial, le contrat de location ou un avenant à ce contrat peut fixer une majoration de loyer consécutive à ces opérations.</w:t>
      </w:r>
      <w:r w:rsidRPr="00874A27">
        <w:rPr>
          <w:rFonts w:ascii="Arial" w:eastAsia="Times New Roman" w:hAnsi="Arial" w:cs="Arial"/>
          <w:color w:val="000000"/>
          <w:sz w:val="19"/>
          <w:szCs w:val="19"/>
          <w:lang w:eastAsia="fr-FR"/>
        </w:rPr>
        <w:br/>
        <w:t>« Art. 25-10. - Les charges locatives accessoires au loyer principal sont récupérées par le bailleur au choix des parties et tel que prévu par le contrat de bail :</w:t>
      </w:r>
      <w:r w:rsidRPr="00874A27">
        <w:rPr>
          <w:rFonts w:ascii="Arial" w:eastAsia="Times New Roman" w:hAnsi="Arial" w:cs="Arial"/>
          <w:color w:val="000000"/>
          <w:sz w:val="19"/>
          <w:szCs w:val="19"/>
          <w:lang w:eastAsia="fr-FR"/>
        </w:rPr>
        <w:br/>
        <w:t>« 1° Soit dans les conditions prévues à l'article 23, lorsqu'il s'agit de provisions pour charges ;</w:t>
      </w:r>
      <w:r w:rsidRPr="00874A27">
        <w:rPr>
          <w:rFonts w:ascii="Arial" w:eastAsia="Times New Roman" w:hAnsi="Arial" w:cs="Arial"/>
          <w:color w:val="000000"/>
          <w:sz w:val="19"/>
          <w:szCs w:val="19"/>
          <w:lang w:eastAsia="fr-FR"/>
        </w:rPr>
        <w:br/>
        <w:t>« 2° Soit sous la forme d'un forfait versé simultanément au loyer, dont le montant et la périodicité de versement sont définis dans le contrat et qui ne peut donner lieu à complément ou à régularisation ultérieure. Le montant du forfait de charges est fixé en fonction des montants exigibles par le bailleur en application du même article 23 et peut être révisé chaque année aux mêmes conditions que le loyer principal. Ce montant ne peut pas être manifestement disproportionné au regard des charges dont le locataire ou, le cas échéant, le précédent locataire se serait acquitté.</w:t>
      </w:r>
      <w:r w:rsidRPr="00874A27">
        <w:rPr>
          <w:rFonts w:ascii="Arial" w:eastAsia="Times New Roman" w:hAnsi="Arial" w:cs="Arial"/>
          <w:color w:val="000000"/>
          <w:sz w:val="19"/>
          <w:szCs w:val="19"/>
          <w:lang w:eastAsia="fr-FR"/>
        </w:rPr>
        <w:br/>
        <w:t>« Art. 25-11. - La commission départementale de conciliation mentionnée à l'article 20 est compétente pour l'examen des litiges relatifs aux logements meublés et résultant de l'application des dispositions relatives aux loyers, aux congés, à l'état des lieux et du mobilier, au dépôt de garantie, aux charges locatives, aux réparations et aux caractéristiques du logement mentionnées aux deux premiers alinéas de l'article 6.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8" w:name="JORFARTI000028772497"/>
      <w:bookmarkEnd w:id="8"/>
      <w:r w:rsidRPr="00874A27">
        <w:rPr>
          <w:rFonts w:ascii="Arial" w:eastAsia="Times New Roman" w:hAnsi="Arial" w:cs="Arial"/>
          <w:b/>
          <w:bCs/>
          <w:color w:val="000000"/>
          <w:sz w:val="23"/>
          <w:szCs w:val="23"/>
          <w:lang w:eastAsia="fr-FR"/>
        </w:rPr>
        <w:t>Article 9 </w:t>
      </w:r>
      <w:hyperlink r:id="rId72" w:tooltip="En savoir plus sur l'article 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premier alinéa de l'article L. 442-8-4 du code de la construction et de l'habitation est ainsi modifié :</w:t>
      </w:r>
      <w:r w:rsidRPr="00874A27">
        <w:rPr>
          <w:rFonts w:ascii="Arial" w:eastAsia="Times New Roman" w:hAnsi="Arial" w:cs="Arial"/>
          <w:color w:val="000000"/>
          <w:sz w:val="19"/>
          <w:szCs w:val="19"/>
          <w:lang w:eastAsia="fr-FR"/>
        </w:rPr>
        <w:br/>
        <w:t>1° Après la troisième phrase, est insérée une phrase ainsi rédigée :</w:t>
      </w:r>
      <w:r w:rsidRPr="00874A27">
        <w:rPr>
          <w:rFonts w:ascii="Arial" w:eastAsia="Times New Roman" w:hAnsi="Arial" w:cs="Arial"/>
          <w:color w:val="000000"/>
          <w:sz w:val="19"/>
          <w:szCs w:val="19"/>
          <w:lang w:eastAsia="fr-FR"/>
        </w:rPr>
        <w:br/>
        <w:t>« Les locataires peuvent donner congé à tout moment, sous réserve d'un préavis d'un mois. » ;</w:t>
      </w:r>
      <w:r w:rsidRPr="00874A27">
        <w:rPr>
          <w:rFonts w:ascii="Arial" w:eastAsia="Times New Roman" w:hAnsi="Arial" w:cs="Arial"/>
          <w:color w:val="000000"/>
          <w:sz w:val="19"/>
          <w:szCs w:val="19"/>
          <w:lang w:eastAsia="fr-FR"/>
        </w:rPr>
        <w:br/>
        <w:t>2° Au début de la dernière phrase, le mot : « Il » est remplacé par les mots : « Le contrat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9" w:name="JORFARTI000028772501"/>
      <w:bookmarkEnd w:id="9"/>
      <w:r w:rsidRPr="00874A27">
        <w:rPr>
          <w:rFonts w:ascii="Arial" w:eastAsia="Times New Roman" w:hAnsi="Arial" w:cs="Arial"/>
          <w:b/>
          <w:bCs/>
          <w:color w:val="000000"/>
          <w:sz w:val="23"/>
          <w:szCs w:val="23"/>
          <w:lang w:eastAsia="fr-FR"/>
        </w:rPr>
        <w:t>Article 10 </w:t>
      </w:r>
      <w:hyperlink r:id="rId73" w:tooltip="En savoir plus sur l'article 1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324-1-1 du code du tourisme est complété par un alinéa ainsi rédigé :</w:t>
      </w:r>
      <w:r w:rsidRPr="00874A27">
        <w:rPr>
          <w:rFonts w:ascii="Arial" w:eastAsia="Times New Roman" w:hAnsi="Arial" w:cs="Arial"/>
          <w:color w:val="000000"/>
          <w:sz w:val="19"/>
          <w:szCs w:val="19"/>
          <w:lang w:eastAsia="fr-FR"/>
        </w:rPr>
        <w:br/>
        <w:t>« Cette déclaration préalable n'est pas obligatoire lorsque le local à usage d'habitation constitue la résidence principale du loueur, au sens de l'</w:t>
      </w:r>
      <w:hyperlink r:id="rId74" w:history="1">
        <w:r w:rsidRPr="00874A27">
          <w:rPr>
            <w:rFonts w:ascii="Arial" w:eastAsia="Times New Roman" w:hAnsi="Arial" w:cs="Arial"/>
            <w:color w:val="336699"/>
            <w:sz w:val="19"/>
            <w:szCs w:val="19"/>
            <w:u w:val="single"/>
            <w:lang w:eastAsia="fr-FR"/>
          </w:rPr>
          <w:t>article 2 de la loi n° 89-462 du 6 juillet 1989 </w:t>
        </w:r>
      </w:hyperlink>
      <w:r w:rsidRPr="00874A27">
        <w:rPr>
          <w:rFonts w:ascii="Arial" w:eastAsia="Times New Roman" w:hAnsi="Arial" w:cs="Arial"/>
          <w:color w:val="000000"/>
          <w:sz w:val="19"/>
          <w:szCs w:val="19"/>
          <w:lang w:eastAsia="fr-FR"/>
        </w:rPr>
        <w:t>tendant à améliorer les rapports locatifs et portant modification de la </w:t>
      </w:r>
      <w:hyperlink r:id="rId75"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0" w:name="JORFARTI000028772506"/>
      <w:bookmarkEnd w:id="10"/>
      <w:r w:rsidRPr="00874A27">
        <w:rPr>
          <w:rFonts w:ascii="Arial" w:eastAsia="Times New Roman" w:hAnsi="Arial" w:cs="Arial"/>
          <w:b/>
          <w:bCs/>
          <w:color w:val="000000"/>
          <w:sz w:val="23"/>
          <w:szCs w:val="23"/>
          <w:lang w:eastAsia="fr-FR"/>
        </w:rPr>
        <w:t>Article 11 </w:t>
      </w:r>
      <w:hyperlink r:id="rId76" w:tooltip="En savoir plus sur l'article 1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section 1 du chapitre IV du titre II du livre III du même code est complétée par un article L. 324-2-1 ainsi rédigé :</w:t>
      </w:r>
      <w:r w:rsidRPr="00874A27">
        <w:rPr>
          <w:rFonts w:ascii="Arial" w:eastAsia="Times New Roman" w:hAnsi="Arial" w:cs="Arial"/>
          <w:color w:val="000000"/>
          <w:sz w:val="19"/>
          <w:szCs w:val="19"/>
          <w:lang w:eastAsia="fr-FR"/>
        </w:rPr>
        <w:br/>
        <w:t>« Art. L. 324-2-1.-Toute personne qui se livre ou prête son concours contre rémunération, par une activité d'entremise ou de négociation ou par la mise à disposition d'une plateforme numérique, à la mise en location d'un logement soumis à l'article L. 324-1-1 du présent code et aux </w:t>
      </w:r>
      <w:hyperlink r:id="rId77" w:history="1">
        <w:r w:rsidRPr="00874A27">
          <w:rPr>
            <w:rFonts w:ascii="Arial" w:eastAsia="Times New Roman" w:hAnsi="Arial" w:cs="Arial"/>
            <w:color w:val="336699"/>
            <w:sz w:val="19"/>
            <w:szCs w:val="19"/>
            <w:u w:val="single"/>
            <w:lang w:eastAsia="fr-FR"/>
          </w:rPr>
          <w:t>articles L. 631-7 et suivants du code de la construction et de l'habitation </w:t>
        </w:r>
      </w:hyperlink>
      <w:r w:rsidRPr="00874A27">
        <w:rPr>
          <w:rFonts w:ascii="Arial" w:eastAsia="Times New Roman" w:hAnsi="Arial" w:cs="Arial"/>
          <w:color w:val="000000"/>
          <w:sz w:val="19"/>
          <w:szCs w:val="19"/>
          <w:lang w:eastAsia="fr-FR"/>
        </w:rPr>
        <w:t>informe le loueur des obligations de déclaration ou d'autorisation préalables prévues par ces articles et obtient de lui, préalablement à la location du bien, une déclaration sur l'honneur attestant du respect de ces obligations.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1" w:name="JORFARTI000028772510"/>
      <w:bookmarkEnd w:id="11"/>
      <w:r w:rsidRPr="00874A27">
        <w:rPr>
          <w:rFonts w:ascii="Arial" w:eastAsia="Times New Roman" w:hAnsi="Arial" w:cs="Arial"/>
          <w:b/>
          <w:bCs/>
          <w:color w:val="000000"/>
          <w:sz w:val="23"/>
          <w:szCs w:val="23"/>
          <w:lang w:eastAsia="fr-FR"/>
        </w:rPr>
        <w:t>Article 12 </w:t>
      </w:r>
      <w:hyperlink r:id="rId78" w:tooltip="En savoir plus sur l'article 1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40 de la loi n° 89-462 du 6 juillet 1989 précitée est ainsi modifié :</w:t>
      </w:r>
      <w:r w:rsidRPr="00874A27">
        <w:rPr>
          <w:rFonts w:ascii="Arial" w:eastAsia="Times New Roman" w:hAnsi="Arial" w:cs="Arial"/>
          <w:color w:val="000000"/>
          <w:sz w:val="19"/>
          <w:szCs w:val="19"/>
          <w:lang w:eastAsia="fr-FR"/>
        </w:rPr>
        <w:br/>
        <w:t>1° Le I est ainsi modifié :</w:t>
      </w:r>
      <w:r w:rsidRPr="00874A27">
        <w:rPr>
          <w:rFonts w:ascii="Arial" w:eastAsia="Times New Roman" w:hAnsi="Arial" w:cs="Arial"/>
          <w:color w:val="000000"/>
          <w:sz w:val="19"/>
          <w:szCs w:val="19"/>
          <w:lang w:eastAsia="fr-FR"/>
        </w:rPr>
        <w:br/>
        <w:t>a) Le début du premier alinéa est ainsi rédigé : « Les 4°, 7° à 9° et le dernier alinéa de l'article 3, l'article 3-1, le II de l'article 5, les articles 8, 8-1, 10 à 12, 15 à 18, le 1° de l'article 20, les cinq premiers alinéas de l'article 23 et les articles 25-3 à 25-11 ne... (le reste sans changement).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b) Le deuxième alinéa est complété par une phrase ainsi rédigée :</w:t>
      </w:r>
      <w:r w:rsidRPr="00874A27">
        <w:rPr>
          <w:rFonts w:ascii="Arial" w:eastAsia="Times New Roman" w:hAnsi="Arial" w:cs="Arial"/>
          <w:color w:val="000000"/>
          <w:sz w:val="19"/>
          <w:szCs w:val="19"/>
          <w:lang w:eastAsia="fr-FR"/>
        </w:rPr>
        <w:br/>
        <w:t>« Lorsque le bénéficiaire du transfert est un descendant remplissant les conditions de ressources mais pour lequel le logement est inadapté à la taille du ménage, l'organisme bailleur peut proposer un relogement dans un logement plus petit pour lequel l'intéressé est prioritaire. » ;</w:t>
      </w:r>
      <w:r w:rsidRPr="00874A27">
        <w:rPr>
          <w:rFonts w:ascii="Arial" w:eastAsia="Times New Roman" w:hAnsi="Arial" w:cs="Arial"/>
          <w:color w:val="000000"/>
          <w:sz w:val="19"/>
          <w:szCs w:val="19"/>
          <w:lang w:eastAsia="fr-FR"/>
        </w:rPr>
        <w:br/>
        <w:t>c) Le dernier alinéa est ainsi rédigé :</w:t>
      </w:r>
      <w:r w:rsidRPr="00874A27">
        <w:rPr>
          <w:rFonts w:ascii="Arial" w:eastAsia="Times New Roman" w:hAnsi="Arial" w:cs="Arial"/>
          <w:color w:val="000000"/>
          <w:sz w:val="19"/>
          <w:szCs w:val="19"/>
          <w:lang w:eastAsia="fr-FR"/>
        </w:rPr>
        <w:br/>
        <w:t>« Les neuvième à dix-neuvième alinéas du I de l'article 15 sont applicables lorsque le congé émane du locataire. » ;</w:t>
      </w:r>
      <w:r w:rsidRPr="00874A27">
        <w:rPr>
          <w:rFonts w:ascii="Arial" w:eastAsia="Times New Roman" w:hAnsi="Arial" w:cs="Arial"/>
          <w:color w:val="000000"/>
          <w:sz w:val="19"/>
          <w:szCs w:val="19"/>
          <w:lang w:eastAsia="fr-FR"/>
        </w:rPr>
        <w:br/>
        <w:t>2° Au II, après la référence : « 3 », est insérée la référence : « , 3-1 » ;</w:t>
      </w:r>
      <w:r w:rsidRPr="00874A27">
        <w:rPr>
          <w:rFonts w:ascii="Arial" w:eastAsia="Times New Roman" w:hAnsi="Arial" w:cs="Arial"/>
          <w:color w:val="000000"/>
          <w:sz w:val="19"/>
          <w:szCs w:val="19"/>
          <w:lang w:eastAsia="fr-FR"/>
        </w:rPr>
        <w:br/>
        <w:t>3° Le III est ainsi modifié :</w:t>
      </w:r>
      <w:r w:rsidRPr="00874A27">
        <w:rPr>
          <w:rFonts w:ascii="Arial" w:eastAsia="Times New Roman" w:hAnsi="Arial" w:cs="Arial"/>
          <w:color w:val="000000"/>
          <w:sz w:val="19"/>
          <w:szCs w:val="19"/>
          <w:lang w:eastAsia="fr-FR"/>
        </w:rPr>
        <w:br/>
        <w:t>a) Le début du premier alinéa est ainsi rédigé : « Les 4°, 7° à 9° et le dernier alinéa de l'article 3, l'article 3-1, le II de l'article 5, les articles 8, 8-1, 10 à 12, 15 et 17, le II de l'article 17-1, les articles 17-2 et 18 et le premier... (le reste sans changement). » ;</w:t>
      </w:r>
      <w:r w:rsidRPr="00874A27">
        <w:rPr>
          <w:rFonts w:ascii="Arial" w:eastAsia="Times New Roman" w:hAnsi="Arial" w:cs="Arial"/>
          <w:color w:val="000000"/>
          <w:sz w:val="19"/>
          <w:szCs w:val="19"/>
          <w:lang w:eastAsia="fr-FR"/>
        </w:rPr>
        <w:br/>
        <w:t>b) Au troisième alinéa, les mots : « deuxième et troisième » sont remplacés par les mots : « neuvième à dix-neuvième » et les mots : « lorsque le congé émane du locataire » sont supprimés ;</w:t>
      </w:r>
      <w:r w:rsidRPr="00874A27">
        <w:rPr>
          <w:rFonts w:ascii="Arial" w:eastAsia="Times New Roman" w:hAnsi="Arial" w:cs="Arial"/>
          <w:color w:val="000000"/>
          <w:sz w:val="19"/>
          <w:szCs w:val="19"/>
          <w:lang w:eastAsia="fr-FR"/>
        </w:rPr>
        <w:br/>
        <w:t>c) Le début du dernier alinéa est ainsi rédigé : « L'article 16, le I de l'article 17-1, l'article 18, le 1° de l'article 20 et les cinq... (le reste sans changement). » ;</w:t>
      </w:r>
      <w:r w:rsidRPr="00874A27">
        <w:rPr>
          <w:rFonts w:ascii="Arial" w:eastAsia="Times New Roman" w:hAnsi="Arial" w:cs="Arial"/>
          <w:color w:val="000000"/>
          <w:sz w:val="19"/>
          <w:szCs w:val="19"/>
          <w:lang w:eastAsia="fr-FR"/>
        </w:rPr>
        <w:br/>
        <w:t>4° Le début du V est ainsi rédigé :</w:t>
      </w:r>
      <w:r w:rsidRPr="00874A27">
        <w:rPr>
          <w:rFonts w:ascii="Arial" w:eastAsia="Times New Roman" w:hAnsi="Arial" w:cs="Arial"/>
          <w:color w:val="000000"/>
          <w:sz w:val="19"/>
          <w:szCs w:val="19"/>
          <w:lang w:eastAsia="fr-FR"/>
        </w:rPr>
        <w:br/>
        <w:t>« V. ― Les articles 10, 15, à l'exception des neuvième à dix-neuvième alinéas du I, 17 et 17-2 ne sont pas... (le reste sans changement). » ;</w:t>
      </w:r>
      <w:r w:rsidRPr="00874A27">
        <w:rPr>
          <w:rFonts w:ascii="Arial" w:eastAsia="Times New Roman" w:hAnsi="Arial" w:cs="Arial"/>
          <w:color w:val="000000"/>
          <w:sz w:val="19"/>
          <w:szCs w:val="19"/>
          <w:lang w:eastAsia="fr-FR"/>
        </w:rPr>
        <w:br/>
        <w:t>5° Au premier alinéa du VI, les mots : « en application de l'article 17 » sont remplacés par les mots : « en application des articles 17, 17-1 et 17-2 » ;</w:t>
      </w:r>
      <w:r w:rsidRPr="00874A27">
        <w:rPr>
          <w:rFonts w:ascii="Arial" w:eastAsia="Times New Roman" w:hAnsi="Arial" w:cs="Arial"/>
          <w:color w:val="000000"/>
          <w:sz w:val="19"/>
          <w:szCs w:val="19"/>
          <w:lang w:eastAsia="fr-FR"/>
        </w:rPr>
        <w:br/>
        <w:t>6° Le VII est ainsi modifié :</w:t>
      </w:r>
      <w:r w:rsidRPr="00874A27">
        <w:rPr>
          <w:rFonts w:ascii="Arial" w:eastAsia="Times New Roman" w:hAnsi="Arial" w:cs="Arial"/>
          <w:color w:val="000000"/>
          <w:sz w:val="19"/>
          <w:szCs w:val="19"/>
          <w:lang w:eastAsia="fr-FR"/>
        </w:rPr>
        <w:br/>
        <w:t>a) Au premier alinéa, les mots : « A compter du 1er janvier 1997, » sont supprimés ;</w:t>
      </w:r>
      <w:r w:rsidRPr="00874A27">
        <w:rPr>
          <w:rFonts w:ascii="Arial" w:eastAsia="Times New Roman" w:hAnsi="Arial" w:cs="Arial"/>
          <w:color w:val="000000"/>
          <w:sz w:val="19"/>
          <w:szCs w:val="19"/>
          <w:lang w:eastAsia="fr-FR"/>
        </w:rPr>
        <w:br/>
        <w:t>b) Au second alinéa, les références : « des a, b, c et d de l'article 17, des articles 18 et 19 et du premier alinéa de l'article 20 » sont remplacées par les références : « de l'article 17, du I de l'article 17-1, des articles 17-2 et 18 et du 1° de l'article 20 » et, après la référence : « titre IV », est insérée la référence : « du livre IV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2" w:name="JORFARTI000028772523"/>
      <w:bookmarkEnd w:id="12"/>
      <w:r w:rsidRPr="00874A27">
        <w:rPr>
          <w:rFonts w:ascii="Arial" w:eastAsia="Times New Roman" w:hAnsi="Arial" w:cs="Arial"/>
          <w:b/>
          <w:bCs/>
          <w:color w:val="000000"/>
          <w:sz w:val="23"/>
          <w:szCs w:val="23"/>
          <w:lang w:eastAsia="fr-FR"/>
        </w:rPr>
        <w:t>Article 13 </w:t>
      </w:r>
      <w:hyperlink r:id="rId79" w:tooltip="En savoir plus sur l'article 1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I.-Le chapitre Ier du titre III du livre VI du code de la construction et de l'habitation est complété par une section 4 ainsi rédigée :</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Section 4</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La résidence universitaire</w:t>
      </w:r>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631-12.-La résidence universitaire est un établissement destiné au logement collectif à titre de résidence principale dans des immeubles comportant à la fois des locaux privatifs, meublés ou non, et des locaux affectés à la vie collective. Cet établissement accueille des étudiants, des personnes de moins de trente ans en formation ou en stage et des personnes titulaires d'un contrat de professionnalisation ou d'apprentissage. A titre exceptionnel, cet établissement peut accueillir des enseignants et des chercheurs.</w:t>
      </w:r>
      <w:r w:rsidRPr="00874A27">
        <w:rPr>
          <w:rFonts w:ascii="Arial" w:eastAsia="Times New Roman" w:hAnsi="Arial" w:cs="Arial"/>
          <w:color w:val="000000"/>
          <w:sz w:val="19"/>
          <w:szCs w:val="19"/>
          <w:lang w:eastAsia="fr-FR"/>
        </w:rPr>
        <w:br/>
        <w:t>« Ces résidences peuvent faire l'objet d'une convention conclue en application de l'article L. 351-2. Les occupants ne bénéficient pas du droit au maintien dans les lieux.</w:t>
      </w:r>
      <w:r w:rsidRPr="00874A27">
        <w:rPr>
          <w:rFonts w:ascii="Arial" w:eastAsia="Times New Roman" w:hAnsi="Arial" w:cs="Arial"/>
          <w:color w:val="000000"/>
          <w:sz w:val="19"/>
          <w:szCs w:val="19"/>
          <w:lang w:eastAsia="fr-FR"/>
        </w:rPr>
        <w:br/>
        <w:t>« Le contrat de location a une durée maximale d'un an. Il peut être renouvelé dès lors que l'occupant continue à remplir les conditions précisées au présent article.</w:t>
      </w:r>
      <w:r w:rsidRPr="00874A27">
        <w:rPr>
          <w:rFonts w:ascii="Arial" w:eastAsia="Times New Roman" w:hAnsi="Arial" w:cs="Arial"/>
          <w:color w:val="000000"/>
          <w:sz w:val="19"/>
          <w:szCs w:val="19"/>
          <w:lang w:eastAsia="fr-FR"/>
        </w:rPr>
        <w:br/>
        <w:t>« Le résident ne peut ni céder le contrat de location ni sous-louer le logement.</w:t>
      </w:r>
      <w:r w:rsidRPr="00874A27">
        <w:rPr>
          <w:rFonts w:ascii="Arial" w:eastAsia="Times New Roman" w:hAnsi="Arial" w:cs="Arial"/>
          <w:color w:val="000000"/>
          <w:sz w:val="19"/>
          <w:szCs w:val="19"/>
          <w:lang w:eastAsia="fr-FR"/>
        </w:rPr>
        <w:br/>
        <w:t>« L'article L. 441-2 ne s'applique pas aux résidences universitaires. »</w:t>
      </w:r>
      <w:r w:rsidRPr="00874A27">
        <w:rPr>
          <w:rFonts w:ascii="Arial" w:eastAsia="Times New Roman" w:hAnsi="Arial" w:cs="Arial"/>
          <w:color w:val="000000"/>
          <w:sz w:val="19"/>
          <w:szCs w:val="19"/>
          <w:lang w:eastAsia="fr-FR"/>
        </w:rPr>
        <w:br/>
        <w:t>II. ― L'article 40 de la loi n° 89-462 du 6 juillet 1989 précitée est complété par un VIII ainsi rédigé :</w:t>
      </w:r>
      <w:r w:rsidRPr="00874A27">
        <w:rPr>
          <w:rFonts w:ascii="Arial" w:eastAsia="Times New Roman" w:hAnsi="Arial" w:cs="Arial"/>
          <w:color w:val="000000"/>
          <w:sz w:val="19"/>
          <w:szCs w:val="19"/>
          <w:lang w:eastAsia="fr-FR"/>
        </w:rPr>
        <w:br/>
        <w:t>« VIII. ― Les 4°, 7°, 8°, 9° et dernier alinéa de l'article 3, les articles 3-1,8,10 à 11-1,15,17,17-2,18, les sixième à dernier alinéas de l'article 23 et le II de l'article 17-1 ne sont pas applicables aux logements des résidences universitaires définies à l'article L. 631-12 du code de la construction et de l'habitation et régies par une convention conclue en application de l'article L. 351-2 du même code. Toutefois, les neuvième à dix-neuvième alinéas du I de l'article 15 sont applicables lorsque le congé émane du locataire.</w:t>
      </w:r>
      <w:r w:rsidRPr="00874A27">
        <w:rPr>
          <w:rFonts w:ascii="Arial" w:eastAsia="Times New Roman" w:hAnsi="Arial" w:cs="Arial"/>
          <w:color w:val="000000"/>
          <w:sz w:val="19"/>
          <w:szCs w:val="19"/>
          <w:lang w:eastAsia="fr-FR"/>
        </w:rPr>
        <w:br/>
        <w:t>« Les articles 3-1,8,10 à 11-1 et les sixième à dernier alinéas de l'article 23 ne sont pas applicables aux logements des résidences universitaires définies audit article L. 631-12.</w:t>
      </w:r>
      <w:r w:rsidRPr="00874A27">
        <w:rPr>
          <w:rFonts w:ascii="Arial" w:eastAsia="Times New Roman" w:hAnsi="Arial" w:cs="Arial"/>
          <w:color w:val="000000"/>
          <w:sz w:val="19"/>
          <w:szCs w:val="19"/>
          <w:lang w:eastAsia="fr-FR"/>
        </w:rPr>
        <w:br/>
        <w:t xml:space="preserve">« Les charges locatives accessoires au loyer principal des logements des résidences universitaires peuvent être récupérées par le bailleur sous la forme d'un forfait versé simultanément au loyer, dont le montant et la périodicité de versement sont définis au contrat et qui ne peut donner lieu à complément </w:t>
      </w:r>
      <w:r w:rsidRPr="00874A27">
        <w:rPr>
          <w:rFonts w:ascii="Arial" w:eastAsia="Times New Roman" w:hAnsi="Arial" w:cs="Arial"/>
          <w:color w:val="000000"/>
          <w:sz w:val="19"/>
          <w:szCs w:val="19"/>
          <w:lang w:eastAsia="fr-FR"/>
        </w:rPr>
        <w:lastRenderedPageBreak/>
        <w:t>ou à régularisation ultérieure. Le montant du forfait de charges est fixé en fonction des montants exigibles par le bailleur en application de l'article 23. Ce montant ne doit pas être manifestement disproportionné au regard des charges dont le locataire ou, le cas échéant, le précédent locataire se serait acquitté.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3" w:name="JORFARTI000028772530"/>
      <w:bookmarkEnd w:id="13"/>
      <w:r w:rsidRPr="00874A27">
        <w:rPr>
          <w:rFonts w:ascii="Arial" w:eastAsia="Times New Roman" w:hAnsi="Arial" w:cs="Arial"/>
          <w:b/>
          <w:bCs/>
          <w:color w:val="000000"/>
          <w:sz w:val="23"/>
          <w:szCs w:val="23"/>
          <w:lang w:eastAsia="fr-FR"/>
        </w:rPr>
        <w:t>Article 14 </w:t>
      </w:r>
      <w:hyperlink r:id="rId80" w:tooltip="En savoir plus sur l'article 1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Les contrats de location en cours à la date d'entrée en vigueur de la présente loi demeurent soumis aux dispositions qui leur étaient applicables.</w:t>
      </w:r>
      <w:r w:rsidRPr="00874A27">
        <w:rPr>
          <w:rFonts w:ascii="Arial" w:eastAsia="Times New Roman" w:hAnsi="Arial" w:cs="Arial"/>
          <w:color w:val="000000"/>
          <w:sz w:val="19"/>
          <w:szCs w:val="19"/>
          <w:lang w:eastAsia="fr-FR"/>
        </w:rPr>
        <w:br/>
        <w:t>Toutefois, pour les contrats en cours à la date d'entrée en vigueur de la présente loi et mentionnés au </w:t>
      </w:r>
      <w:hyperlink r:id="rId81" w:history="1">
        <w:r w:rsidRPr="00874A27">
          <w:rPr>
            <w:rFonts w:ascii="Arial" w:eastAsia="Times New Roman" w:hAnsi="Arial" w:cs="Arial"/>
            <w:color w:val="336699"/>
            <w:sz w:val="19"/>
            <w:szCs w:val="19"/>
            <w:u w:val="single"/>
            <w:lang w:eastAsia="fr-FR"/>
          </w:rPr>
          <w:t>premier alinéa de l'article 2 de la loi n° 89-462 du 6 juillet 1989</w:t>
        </w:r>
      </w:hyperlink>
      <w:r w:rsidRPr="00874A27">
        <w:rPr>
          <w:rFonts w:ascii="Arial" w:eastAsia="Times New Roman" w:hAnsi="Arial" w:cs="Arial"/>
          <w:color w:val="000000"/>
          <w:sz w:val="19"/>
          <w:szCs w:val="19"/>
          <w:lang w:eastAsia="fr-FR"/>
        </w:rPr>
        <w:t> tendant à améliorer les rapports locatifs et portant modification de la </w:t>
      </w:r>
      <w:hyperlink r:id="rId82"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dans sa rédaction antérieure à la présente loi :</w:t>
      </w:r>
      <w:r w:rsidRPr="00874A27">
        <w:rPr>
          <w:rFonts w:ascii="Arial" w:eastAsia="Times New Roman" w:hAnsi="Arial" w:cs="Arial"/>
          <w:color w:val="000000"/>
          <w:sz w:val="19"/>
          <w:szCs w:val="19"/>
          <w:lang w:eastAsia="fr-FR"/>
        </w:rPr>
        <w:br/>
        <w:t>1° Les articles 7, 17-1, 20-1, 21 et 23 de la même loi, dans leur rédaction résultant de la présente loi, sont applicables ;</w:t>
      </w:r>
      <w:r w:rsidRPr="00874A27">
        <w:rPr>
          <w:rFonts w:ascii="Arial" w:eastAsia="Times New Roman" w:hAnsi="Arial" w:cs="Arial"/>
          <w:color w:val="000000"/>
          <w:sz w:val="19"/>
          <w:szCs w:val="19"/>
          <w:lang w:eastAsia="fr-FR"/>
        </w:rPr>
        <w:br/>
        <w:t>2° L'</w:t>
      </w:r>
      <w:hyperlink r:id="rId83" w:history="1">
        <w:r w:rsidRPr="00874A27">
          <w:rPr>
            <w:rFonts w:ascii="Arial" w:eastAsia="Times New Roman" w:hAnsi="Arial" w:cs="Arial"/>
            <w:color w:val="336699"/>
            <w:sz w:val="19"/>
            <w:szCs w:val="19"/>
            <w:u w:val="single"/>
            <w:lang w:eastAsia="fr-FR"/>
          </w:rPr>
          <w:t>article 11-1 de la loi n° 89-462 du 6 juillet 1989 précitée</w:t>
        </w:r>
      </w:hyperlink>
      <w:r w:rsidRPr="00874A27">
        <w:rPr>
          <w:rFonts w:ascii="Arial" w:eastAsia="Times New Roman" w:hAnsi="Arial" w:cs="Arial"/>
          <w:color w:val="000000"/>
          <w:sz w:val="19"/>
          <w:szCs w:val="19"/>
          <w:lang w:eastAsia="fr-FR"/>
        </w:rPr>
        <w:t>, dans sa rédaction résultant de la présente loi, leur est applicable pour les congés délivrés après l'entrée en vigueur de la présente loi.</w:t>
      </w:r>
      <w:r w:rsidRPr="00874A27">
        <w:rPr>
          <w:rFonts w:ascii="Arial" w:eastAsia="Times New Roman" w:hAnsi="Arial" w:cs="Arial"/>
          <w:color w:val="000000"/>
          <w:sz w:val="19"/>
          <w:szCs w:val="19"/>
          <w:lang w:eastAsia="fr-FR"/>
        </w:rPr>
        <w:br/>
        <w:t>Pour les contrats en cours à la date d'entrée en vigueur de la présente loi et mentionnés au </w:t>
      </w:r>
      <w:hyperlink r:id="rId84" w:history="1">
        <w:r w:rsidRPr="00874A27">
          <w:rPr>
            <w:rFonts w:ascii="Arial" w:eastAsia="Times New Roman" w:hAnsi="Arial" w:cs="Arial"/>
            <w:color w:val="336699"/>
            <w:sz w:val="19"/>
            <w:szCs w:val="19"/>
            <w:u w:val="single"/>
            <w:lang w:eastAsia="fr-FR"/>
          </w:rPr>
          <w:t>premier alinéa de l'article L. 632-1 du code de la construction et de l'habitation</w:t>
        </w:r>
      </w:hyperlink>
      <w:r w:rsidRPr="00874A27">
        <w:rPr>
          <w:rFonts w:ascii="Arial" w:eastAsia="Times New Roman" w:hAnsi="Arial" w:cs="Arial"/>
          <w:color w:val="000000"/>
          <w:sz w:val="19"/>
          <w:szCs w:val="19"/>
          <w:lang w:eastAsia="fr-FR"/>
        </w:rPr>
        <w:t>, dans sa rédaction antérieure à la présente loi, les articles </w:t>
      </w:r>
      <w:hyperlink r:id="rId85" w:history="1">
        <w:r w:rsidRPr="00874A27">
          <w:rPr>
            <w:rFonts w:ascii="Arial" w:eastAsia="Times New Roman" w:hAnsi="Arial" w:cs="Arial"/>
            <w:color w:val="336699"/>
            <w:sz w:val="19"/>
            <w:szCs w:val="19"/>
            <w:u w:val="single"/>
            <w:lang w:eastAsia="fr-FR"/>
          </w:rPr>
          <w:t>6</w:t>
        </w:r>
      </w:hyperlink>
      <w:r w:rsidRPr="00874A27">
        <w:rPr>
          <w:rFonts w:ascii="Arial" w:eastAsia="Times New Roman" w:hAnsi="Arial" w:cs="Arial"/>
          <w:color w:val="000000"/>
          <w:sz w:val="19"/>
          <w:szCs w:val="19"/>
          <w:lang w:eastAsia="fr-FR"/>
        </w:rPr>
        <w:t>, </w:t>
      </w:r>
      <w:hyperlink r:id="rId86" w:history="1">
        <w:r w:rsidRPr="00874A27">
          <w:rPr>
            <w:rFonts w:ascii="Arial" w:eastAsia="Times New Roman" w:hAnsi="Arial" w:cs="Arial"/>
            <w:color w:val="336699"/>
            <w:sz w:val="19"/>
            <w:szCs w:val="19"/>
            <w:u w:val="single"/>
            <w:lang w:eastAsia="fr-FR"/>
          </w:rPr>
          <w:t>7</w:t>
        </w:r>
      </w:hyperlink>
      <w:r w:rsidRPr="00874A27">
        <w:rPr>
          <w:rFonts w:ascii="Arial" w:eastAsia="Times New Roman" w:hAnsi="Arial" w:cs="Arial"/>
          <w:color w:val="000000"/>
          <w:sz w:val="19"/>
          <w:szCs w:val="19"/>
          <w:lang w:eastAsia="fr-FR"/>
        </w:rPr>
        <w:t>, </w:t>
      </w:r>
      <w:hyperlink r:id="rId87" w:history="1">
        <w:r w:rsidRPr="00874A27">
          <w:rPr>
            <w:rFonts w:ascii="Arial" w:eastAsia="Times New Roman" w:hAnsi="Arial" w:cs="Arial"/>
            <w:color w:val="336699"/>
            <w:sz w:val="19"/>
            <w:szCs w:val="19"/>
            <w:u w:val="single"/>
            <w:lang w:eastAsia="fr-FR"/>
          </w:rPr>
          <w:t>20-1</w:t>
        </w:r>
      </w:hyperlink>
      <w:r w:rsidRPr="00874A27">
        <w:rPr>
          <w:rFonts w:ascii="Arial" w:eastAsia="Times New Roman" w:hAnsi="Arial" w:cs="Arial"/>
          <w:color w:val="000000"/>
          <w:sz w:val="19"/>
          <w:szCs w:val="19"/>
          <w:lang w:eastAsia="fr-FR"/>
        </w:rPr>
        <w:t> et 25-11 de la loi n° 89-462 du 6 juillet 1989 précitée, dans leur rédaction résultant de la présente loi, sont applicables.</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4" w:name="JORFARTI000028772539"/>
      <w:bookmarkEnd w:id="14"/>
      <w:r w:rsidRPr="00874A27">
        <w:rPr>
          <w:rFonts w:ascii="Arial" w:eastAsia="Times New Roman" w:hAnsi="Arial" w:cs="Arial"/>
          <w:b/>
          <w:bCs/>
          <w:color w:val="000000"/>
          <w:sz w:val="23"/>
          <w:szCs w:val="23"/>
          <w:lang w:eastAsia="fr-FR"/>
        </w:rPr>
        <w:t>Article 15 </w:t>
      </w:r>
      <w:hyperlink r:id="rId88" w:tooltip="En savoir plus sur l'article 1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premier alinéa de l'article L. 621-4 du code de la construction et de l'habitation est complété par une phrase ainsi rédigée :</w:t>
      </w:r>
      <w:r w:rsidRPr="00874A27">
        <w:rPr>
          <w:rFonts w:ascii="Arial" w:eastAsia="Times New Roman" w:hAnsi="Arial" w:cs="Arial"/>
          <w:color w:val="000000"/>
          <w:sz w:val="19"/>
          <w:szCs w:val="19"/>
          <w:lang w:eastAsia="fr-FR"/>
        </w:rPr>
        <w:br/>
        <w:t>« Dans ces communes, les agents assermentés ayant pour fonction le contrôle de l'usage des locaux destinés à l'habitation bénéficient des prérogatives prévues aux articles L. 651-6 et L. 651-7.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5" w:name="JORFARTI000028772542"/>
      <w:bookmarkEnd w:id="15"/>
      <w:r w:rsidRPr="00874A27">
        <w:rPr>
          <w:rFonts w:ascii="Arial" w:eastAsia="Times New Roman" w:hAnsi="Arial" w:cs="Arial"/>
          <w:b/>
          <w:bCs/>
          <w:color w:val="000000"/>
          <w:sz w:val="23"/>
          <w:szCs w:val="23"/>
          <w:lang w:eastAsia="fr-FR"/>
        </w:rPr>
        <w:t>Article 16 </w:t>
      </w:r>
      <w:hyperlink r:id="rId89" w:tooltip="En savoir plus sur l'article 1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section 2 du chapitre Ier du titre III du livre VI du même code est ainsi modifiée :</w:t>
      </w:r>
      <w:r w:rsidRPr="00874A27">
        <w:rPr>
          <w:rFonts w:ascii="Arial" w:eastAsia="Times New Roman" w:hAnsi="Arial" w:cs="Arial"/>
          <w:color w:val="000000"/>
          <w:sz w:val="19"/>
          <w:szCs w:val="19"/>
          <w:lang w:eastAsia="fr-FR"/>
        </w:rPr>
        <w:br/>
        <w:t>1° L'article L. 631-7 est complété par un alinéa ainsi rédigé :</w:t>
      </w:r>
      <w:r w:rsidRPr="00874A27">
        <w:rPr>
          <w:rFonts w:ascii="Arial" w:eastAsia="Times New Roman" w:hAnsi="Arial" w:cs="Arial"/>
          <w:color w:val="000000"/>
          <w:sz w:val="19"/>
          <w:szCs w:val="19"/>
          <w:lang w:eastAsia="fr-FR"/>
        </w:rPr>
        <w:br/>
        <w:t>« Le fait de louer un local meublé destiné à l'habitation de manière répétée pour de courtes durées à une clientèle de passage qui n'y élit pas domicile constitue un changement d'usage au sens du présent article. » ;</w:t>
      </w:r>
      <w:r w:rsidRPr="00874A27">
        <w:rPr>
          <w:rFonts w:ascii="Arial" w:eastAsia="Times New Roman" w:hAnsi="Arial" w:cs="Arial"/>
          <w:color w:val="000000"/>
          <w:sz w:val="19"/>
          <w:szCs w:val="19"/>
          <w:lang w:eastAsia="fr-FR"/>
        </w:rPr>
        <w:br/>
        <w:t>2° Après l'article L. 631-7, il est inséré un article L. 631-7-1 A ainsi rédigé :</w:t>
      </w:r>
      <w:r w:rsidRPr="00874A27">
        <w:rPr>
          <w:rFonts w:ascii="Arial" w:eastAsia="Times New Roman" w:hAnsi="Arial" w:cs="Arial"/>
          <w:color w:val="000000"/>
          <w:sz w:val="19"/>
          <w:szCs w:val="19"/>
          <w:lang w:eastAsia="fr-FR"/>
        </w:rPr>
        <w:br/>
        <w:t>« Art. L. 631-7-1 A.-Une délibération du conseil municipal peut définir un régime d'autorisation temporaire de changement d'usage permettant à une personne physique de louer pour de courtes durées des locaux destinés à l'habitation à une clientèle de passage qui n'y élit pas domicile.</w:t>
      </w:r>
      <w:r w:rsidRPr="00874A27">
        <w:rPr>
          <w:rFonts w:ascii="Arial" w:eastAsia="Times New Roman" w:hAnsi="Arial" w:cs="Arial"/>
          <w:color w:val="000000"/>
          <w:sz w:val="19"/>
          <w:szCs w:val="19"/>
          <w:lang w:eastAsia="fr-FR"/>
        </w:rPr>
        <w:br/>
        <w:t>« La délibération fixe les conditions de délivrance de cette autorisation temporaire par le maire de la commune dans laquelle est situé l'immeuble après avis, à Paris, Marseille et Lyon, du maire d'arrondissement concerné. Elle détermine également les critères de cette autorisation temporaire, qui peuvent porter sur la durée des contrats de location, sur les caractéristiques physiques du local ainsi que sur sa localisation en fonction notamment des caractéristiques des marchés de locaux d'habitation et de la nécessité de ne pas aggraver la pénurie de logements. Ces critères peuvent être modulés en fonction du nombre d'autorisations accordées à un même propriétaire.</w:t>
      </w:r>
      <w:r w:rsidRPr="00874A27">
        <w:rPr>
          <w:rFonts w:ascii="Arial" w:eastAsia="Times New Roman" w:hAnsi="Arial" w:cs="Arial"/>
          <w:color w:val="000000"/>
          <w:sz w:val="19"/>
          <w:szCs w:val="19"/>
          <w:lang w:eastAsia="fr-FR"/>
        </w:rPr>
        <w:br/>
        <w:t>« Si la commune est membre d'un établissement public de coopération intercommunale compétent en matière de plan local d'urbanisme, la délibération est prise par l'organe délibérant de cet établissement.</w:t>
      </w:r>
      <w:r w:rsidRPr="00874A27">
        <w:rPr>
          <w:rFonts w:ascii="Arial" w:eastAsia="Times New Roman" w:hAnsi="Arial" w:cs="Arial"/>
          <w:color w:val="000000"/>
          <w:sz w:val="19"/>
          <w:szCs w:val="19"/>
          <w:lang w:eastAsia="fr-FR"/>
        </w:rPr>
        <w:br/>
        <w:t>« Le local à usage d'habitation bénéficiant de cette autorisation temporaire ne change pas de destination, au sens du </w:t>
      </w:r>
      <w:hyperlink r:id="rId90" w:history="1">
        <w:r w:rsidRPr="00874A27">
          <w:rPr>
            <w:rFonts w:ascii="Arial" w:eastAsia="Times New Roman" w:hAnsi="Arial" w:cs="Arial"/>
            <w:color w:val="336699"/>
            <w:sz w:val="19"/>
            <w:szCs w:val="19"/>
            <w:u w:val="single"/>
            <w:lang w:eastAsia="fr-FR"/>
          </w:rPr>
          <w:t>2° du II de l'article L. 123-1-5 du code de l'urbanisme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Lorsque le local à usage d'habitation constitue la résidence principale du loueur, au sens de l'</w:t>
      </w:r>
      <w:hyperlink r:id="rId91" w:history="1">
        <w:r w:rsidRPr="00874A27">
          <w:rPr>
            <w:rFonts w:ascii="Arial" w:eastAsia="Times New Roman" w:hAnsi="Arial" w:cs="Arial"/>
            <w:color w:val="336699"/>
            <w:sz w:val="19"/>
            <w:szCs w:val="19"/>
            <w:u w:val="single"/>
            <w:lang w:eastAsia="fr-FR"/>
          </w:rPr>
          <w:t>article 2 de la loi n° 89-462 du 6 juillet 1989 </w:t>
        </w:r>
      </w:hyperlink>
      <w:r w:rsidRPr="00874A27">
        <w:rPr>
          <w:rFonts w:ascii="Arial" w:eastAsia="Times New Roman" w:hAnsi="Arial" w:cs="Arial"/>
          <w:color w:val="000000"/>
          <w:sz w:val="19"/>
          <w:szCs w:val="19"/>
          <w:lang w:eastAsia="fr-FR"/>
        </w:rPr>
        <w:t>tendant à améliorer les rapports locatifs et portant modification de la </w:t>
      </w:r>
      <w:hyperlink r:id="rId92"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l'autorisation de changement d'usage prévue à l'article L. 631-7 du présent code ou celle prévue au présent article n'est pas nécessaire pour le louer pour de courtes durées à une clientèle de passage qui n'y élit pas domicile.</w:t>
      </w:r>
      <w:r w:rsidRPr="00874A27">
        <w:rPr>
          <w:rFonts w:ascii="Arial" w:eastAsia="Times New Roman" w:hAnsi="Arial" w:cs="Arial"/>
          <w:color w:val="000000"/>
          <w:sz w:val="19"/>
          <w:szCs w:val="19"/>
          <w:lang w:eastAsia="fr-FR"/>
        </w:rPr>
        <w:br/>
        <w:t>3° Le premier alinéa de l'article L. 631-9 est ainsi rédigé :</w:t>
      </w:r>
      <w:r w:rsidRPr="00874A27">
        <w:rPr>
          <w:rFonts w:ascii="Arial" w:eastAsia="Times New Roman" w:hAnsi="Arial" w:cs="Arial"/>
          <w:color w:val="000000"/>
          <w:sz w:val="19"/>
          <w:szCs w:val="19"/>
          <w:lang w:eastAsia="fr-FR"/>
        </w:rPr>
        <w:br/>
        <w:t xml:space="preserve">« Dans les communes autres que celles mentionnées au premier alinéa de l'article L. 631-7, les </w:t>
      </w:r>
      <w:r w:rsidRPr="00874A27">
        <w:rPr>
          <w:rFonts w:ascii="Arial" w:eastAsia="Times New Roman" w:hAnsi="Arial" w:cs="Arial"/>
          <w:color w:val="000000"/>
          <w:sz w:val="19"/>
          <w:szCs w:val="19"/>
          <w:lang w:eastAsia="fr-FR"/>
        </w:rPr>
        <w:lastRenderedPageBreak/>
        <w:t>dispositions dudit article peuvent être rendues applicables par décision de l'autorité administrative sur proposition du maire ou, pour les communes appartenant à une zone d'urbanisation continue de plus de 50 000 habitants définie à l'</w:t>
      </w:r>
      <w:hyperlink r:id="rId93" w:history="1">
        <w:r w:rsidRPr="00874A27">
          <w:rPr>
            <w:rFonts w:ascii="Arial" w:eastAsia="Times New Roman" w:hAnsi="Arial" w:cs="Arial"/>
            <w:color w:val="336699"/>
            <w:sz w:val="19"/>
            <w:szCs w:val="19"/>
            <w:u w:val="single"/>
            <w:lang w:eastAsia="fr-FR"/>
          </w:rPr>
          <w:t>article 232 du code général des impôts</w:t>
        </w:r>
      </w:hyperlink>
      <w:r w:rsidRPr="00874A27">
        <w:rPr>
          <w:rFonts w:ascii="Arial" w:eastAsia="Times New Roman" w:hAnsi="Arial" w:cs="Arial"/>
          <w:color w:val="000000"/>
          <w:sz w:val="19"/>
          <w:szCs w:val="19"/>
          <w:lang w:eastAsia="fr-FR"/>
        </w:rPr>
        <w:t>, par une délibération de l'organe délibérant de l'établissement public de coopération intercommunale compétent en matière de plan local d'urbanisme ou, à défaut, du conseil municipal.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6" w:name="JORFARTI000028772551"/>
      <w:bookmarkEnd w:id="16"/>
      <w:r w:rsidRPr="00874A27">
        <w:rPr>
          <w:rFonts w:ascii="Arial" w:eastAsia="Times New Roman" w:hAnsi="Arial" w:cs="Arial"/>
          <w:b/>
          <w:bCs/>
          <w:color w:val="000000"/>
          <w:sz w:val="23"/>
          <w:szCs w:val="23"/>
          <w:lang w:eastAsia="fr-FR"/>
        </w:rPr>
        <w:t>Article 17 </w:t>
      </w:r>
      <w:hyperlink r:id="rId94" w:tooltip="En savoir plus sur l'article 1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631-10 du même code est abrogé.</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7" w:name="JORFARTI000028772554"/>
      <w:bookmarkEnd w:id="17"/>
      <w:r w:rsidRPr="00874A27">
        <w:rPr>
          <w:rFonts w:ascii="Arial" w:eastAsia="Times New Roman" w:hAnsi="Arial" w:cs="Arial"/>
          <w:b/>
          <w:bCs/>
          <w:color w:val="000000"/>
          <w:sz w:val="23"/>
          <w:szCs w:val="23"/>
          <w:lang w:eastAsia="fr-FR"/>
        </w:rPr>
        <w:t>Article 18 </w:t>
      </w:r>
      <w:hyperlink r:id="rId95" w:tooltip="En savoir plus sur l'article 1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651-2 du même code est ainsi modifié :</w:t>
      </w:r>
      <w:r w:rsidRPr="00874A27">
        <w:rPr>
          <w:rFonts w:ascii="Arial" w:eastAsia="Times New Roman" w:hAnsi="Arial" w:cs="Arial"/>
          <w:color w:val="000000"/>
          <w:sz w:val="19"/>
          <w:szCs w:val="19"/>
          <w:lang w:eastAsia="fr-FR"/>
        </w:rPr>
        <w:br/>
        <w:t>1° Après la seconde occurrence du mot : « à », la fin du deuxième alinéa est ainsi rédigée : « la commune dans laquelle est située l'immeuble. » ;</w:t>
      </w:r>
      <w:r w:rsidRPr="00874A27">
        <w:rPr>
          <w:rFonts w:ascii="Arial" w:eastAsia="Times New Roman" w:hAnsi="Arial" w:cs="Arial"/>
          <w:color w:val="000000"/>
          <w:sz w:val="19"/>
          <w:szCs w:val="19"/>
          <w:lang w:eastAsia="fr-FR"/>
        </w:rPr>
        <w:br/>
        <w:t>2° Le troisième alinéa est complété par une phrase ainsi rédigée :</w:t>
      </w:r>
      <w:r w:rsidRPr="00874A27">
        <w:rPr>
          <w:rFonts w:ascii="Arial" w:eastAsia="Times New Roman" w:hAnsi="Arial" w:cs="Arial"/>
          <w:color w:val="000000"/>
          <w:sz w:val="19"/>
          <w:szCs w:val="19"/>
          <w:lang w:eastAsia="fr-FR"/>
        </w:rPr>
        <w:br/>
        <w:t>« Le produit en est intégralement versé à la commune dans laquelle est situé l'immeuble.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8" w:name="JORFARTI000028772557"/>
      <w:bookmarkEnd w:id="18"/>
      <w:r w:rsidRPr="00874A27">
        <w:rPr>
          <w:rFonts w:ascii="Arial" w:eastAsia="Times New Roman" w:hAnsi="Arial" w:cs="Arial"/>
          <w:b/>
          <w:bCs/>
          <w:color w:val="000000"/>
          <w:sz w:val="23"/>
          <w:szCs w:val="23"/>
          <w:lang w:eastAsia="fr-FR"/>
        </w:rPr>
        <w:t>Article 19 </w:t>
      </w:r>
      <w:hyperlink r:id="rId96" w:tooltip="En savoir plus sur l'article 1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[Dispositions déclarées non conformes à la Constitution par la décision du Conseil constitutionnel n° 2014-691 DC du 20 mars 2014.]</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9" w:name="JORFARTI000028772558"/>
      <w:bookmarkEnd w:id="19"/>
      <w:r w:rsidRPr="00874A27">
        <w:rPr>
          <w:rFonts w:ascii="Arial" w:eastAsia="Times New Roman" w:hAnsi="Arial" w:cs="Arial"/>
          <w:b/>
          <w:bCs/>
          <w:color w:val="000000"/>
          <w:sz w:val="23"/>
          <w:szCs w:val="23"/>
          <w:lang w:eastAsia="fr-FR"/>
        </w:rPr>
        <w:t>Article 20 </w:t>
      </w:r>
      <w:hyperlink r:id="rId97" w:tooltip="En savoir plus sur l'article 2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632-1 du même code est ainsi rédigé :</w:t>
      </w:r>
      <w:r w:rsidRPr="00874A27">
        <w:rPr>
          <w:rFonts w:ascii="Arial" w:eastAsia="Times New Roman" w:hAnsi="Arial" w:cs="Arial"/>
          <w:color w:val="000000"/>
          <w:sz w:val="19"/>
          <w:szCs w:val="19"/>
          <w:lang w:eastAsia="fr-FR"/>
        </w:rPr>
        <w:br/>
        <w:t>« Art. L. 632-1.-I. ― Une location d'un logement meublé constituant la résidence principale du preneur est soumise au titre Ier bis de la loi n° 89-462 du 6 juillet 1989 tendant à améliorer les rapports locatifs et portant modification de la </w:t>
      </w:r>
      <w:hyperlink r:id="rId98"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Lorsque le bailleur est titulaire d'un bail commercial venant à expiration ou lorsque la cessation d'activité est prévue, le contrat peut être d'une durée inférieure à un an et doit mentionner les raisons et événements justificatifs.</w:t>
      </w:r>
      <w:r w:rsidRPr="00874A27">
        <w:rPr>
          <w:rFonts w:ascii="Arial" w:eastAsia="Times New Roman" w:hAnsi="Arial" w:cs="Arial"/>
          <w:color w:val="000000"/>
          <w:sz w:val="19"/>
          <w:szCs w:val="19"/>
          <w:lang w:eastAsia="fr-FR"/>
        </w:rPr>
        <w:br/>
        <w:t>« Si le bail commercial est renouvelé ou si l'activité est poursuivie, la durée du contrat est portée à un an.</w:t>
      </w:r>
      <w:r w:rsidRPr="00874A27">
        <w:rPr>
          <w:rFonts w:ascii="Arial" w:eastAsia="Times New Roman" w:hAnsi="Arial" w:cs="Arial"/>
          <w:color w:val="000000"/>
          <w:sz w:val="19"/>
          <w:szCs w:val="19"/>
          <w:lang w:eastAsia="fr-FR"/>
        </w:rPr>
        <w:br/>
        <w:t>« A peine d'irrecevabilité de la demande, l'assignation par l'exploitant d'un établissement recevant du public aux fins d'hébergement, aux fins de constat de résiliation ou de prononcé de la résiliation du bail d'une personne dont le logement loué meublé constitue la résidence principale est notifiée, à la diligence de l'huissier de justice, au représentant de l'Etat dans le département, par lettre recommandée avec demande d'avis de réception, au moins un mois avant l'audience, afin qu'il informe les services compétents, notamment les organismes chargés du service des aides au logement et le fonds de solidarité pour le logement.</w:t>
      </w:r>
      <w:r w:rsidRPr="00874A27">
        <w:rPr>
          <w:rFonts w:ascii="Arial" w:eastAsia="Times New Roman" w:hAnsi="Arial" w:cs="Arial"/>
          <w:color w:val="000000"/>
          <w:sz w:val="19"/>
          <w:szCs w:val="19"/>
          <w:lang w:eastAsia="fr-FR"/>
        </w:rPr>
        <w:br/>
        <w:t>« II. ― Lorsque la location d'un local meublé constituant la résidence principale du preneur est située dans un établissement recevant du public aux fins d'hébergement, celle-ci est soumise au titre Ier bis de la loi n° 89-462 du 6 juillet 1989 précitée. Ne sont pas applicables à cette location les articles 3-2,3-3,18,24-1,25-4 et 25-11 de la même loi.</w:t>
      </w:r>
      <w:r w:rsidRPr="00874A27">
        <w:rPr>
          <w:rFonts w:ascii="Arial" w:eastAsia="Times New Roman" w:hAnsi="Arial" w:cs="Arial"/>
          <w:color w:val="000000"/>
          <w:sz w:val="19"/>
          <w:szCs w:val="19"/>
          <w:lang w:eastAsia="fr-FR"/>
        </w:rPr>
        <w:br/>
        <w:t>« Le local loué mentionné au premier alinéa du I doit être équipé du mobilier nécessaire au sommeil et à la vie courante du locataire ainsi qu'être pourvu de chauffage, d'une alimentation en eau et de sanitaires.</w:t>
      </w:r>
      <w:r w:rsidRPr="00874A27">
        <w:rPr>
          <w:rFonts w:ascii="Arial" w:eastAsia="Times New Roman" w:hAnsi="Arial" w:cs="Arial"/>
          <w:color w:val="000000"/>
          <w:sz w:val="19"/>
          <w:szCs w:val="19"/>
          <w:lang w:eastAsia="fr-FR"/>
        </w:rPr>
        <w:br/>
        <w:t>« Un décret en Conseil d'Etat adapte les caractéristiques applicables aux conditions de décence aux locaux susceptibles d'être loués à usage de résidence principale dans les établissements recevant du public aux fins d'hébergement, dans le respect des textes pris en application de l'</w:t>
      </w:r>
      <w:hyperlink r:id="rId99" w:history="1">
        <w:r w:rsidRPr="00874A27">
          <w:rPr>
            <w:rFonts w:ascii="Arial" w:eastAsia="Times New Roman" w:hAnsi="Arial" w:cs="Arial"/>
            <w:color w:val="336699"/>
            <w:sz w:val="19"/>
            <w:szCs w:val="19"/>
            <w:u w:val="single"/>
            <w:lang w:eastAsia="fr-FR"/>
          </w:rPr>
          <w:t>article L. 1311-1 du code de la santé publique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Lorsqu'un locataire ou plusieurs locataires ont avec le même bailleur un litige locatif ayant une origine commune, ils peuvent donner par écrit mandat d'agir en justice en leur nom et pour leur compte à une association dont l'un des objets est l'insertion ou le logement des personnes défavorisées ou à une association de défense des personnes en situation d'exclusion par le logement mentionnées à l'</w:t>
      </w:r>
      <w:hyperlink r:id="rId100" w:history="1">
        <w:r w:rsidRPr="00874A27">
          <w:rPr>
            <w:rFonts w:ascii="Arial" w:eastAsia="Times New Roman" w:hAnsi="Arial" w:cs="Arial"/>
            <w:color w:val="336699"/>
            <w:sz w:val="19"/>
            <w:szCs w:val="19"/>
            <w:u w:val="single"/>
            <w:lang w:eastAsia="fr-FR"/>
          </w:rPr>
          <w:t>article 3 de la loi n° 90-449 du 31 mai 1990 </w:t>
        </w:r>
      </w:hyperlink>
      <w:r w:rsidRPr="00874A27">
        <w:rPr>
          <w:rFonts w:ascii="Arial" w:eastAsia="Times New Roman" w:hAnsi="Arial" w:cs="Arial"/>
          <w:color w:val="000000"/>
          <w:sz w:val="19"/>
          <w:szCs w:val="19"/>
          <w:lang w:eastAsia="fr-FR"/>
        </w:rPr>
        <w:t xml:space="preserve">visant à la mise en œuvre du droit au logement. Une de ces </w:t>
      </w:r>
      <w:r w:rsidRPr="00874A27">
        <w:rPr>
          <w:rFonts w:ascii="Arial" w:eastAsia="Times New Roman" w:hAnsi="Arial" w:cs="Arial"/>
          <w:color w:val="000000"/>
          <w:sz w:val="19"/>
          <w:szCs w:val="19"/>
          <w:lang w:eastAsia="fr-FR"/>
        </w:rPr>
        <w:lastRenderedPageBreak/>
        <w:t>associations peut assister ou représenter un locataire, selon les modalités définies à l'</w:t>
      </w:r>
      <w:hyperlink r:id="rId101" w:history="1">
        <w:r w:rsidRPr="00874A27">
          <w:rPr>
            <w:rFonts w:ascii="Arial" w:eastAsia="Times New Roman" w:hAnsi="Arial" w:cs="Arial"/>
            <w:color w:val="336699"/>
            <w:sz w:val="19"/>
            <w:szCs w:val="19"/>
            <w:u w:val="single"/>
            <w:lang w:eastAsia="fr-FR"/>
          </w:rPr>
          <w:t>article 828 du code de procédure civile</w:t>
        </w:r>
      </w:hyperlink>
      <w:r w:rsidRPr="00874A27">
        <w:rPr>
          <w:rFonts w:ascii="Arial" w:eastAsia="Times New Roman" w:hAnsi="Arial" w:cs="Arial"/>
          <w:color w:val="000000"/>
          <w:sz w:val="19"/>
          <w:szCs w:val="19"/>
          <w:lang w:eastAsia="fr-FR"/>
        </w:rPr>
        <w:t>, en cas de litige portant sur le respect des caractéristiques de décence de son logement.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20" w:name="JORFARTI000028772567"/>
      <w:bookmarkEnd w:id="20"/>
      <w:r w:rsidRPr="00874A27">
        <w:rPr>
          <w:rFonts w:ascii="Arial" w:eastAsia="Times New Roman" w:hAnsi="Arial" w:cs="Arial"/>
          <w:b/>
          <w:bCs/>
          <w:color w:val="000000"/>
          <w:sz w:val="23"/>
          <w:szCs w:val="23"/>
          <w:lang w:eastAsia="fr-FR"/>
        </w:rPr>
        <w:t>Article 21 </w:t>
      </w:r>
      <w:hyperlink r:id="rId102" w:tooltip="En savoir plus sur l'article 2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le titre Ier du livre II du code des assurances, il est inséré un titre Ier bis ainsi rédigé :</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Ier BIS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L'ASSURANCE HABITATION</w:t>
      </w:r>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215-1. - Toute personne assujettie à l'obligation d'assurance énoncée au </w:t>
      </w:r>
      <w:hyperlink r:id="rId103" w:history="1">
        <w:r w:rsidRPr="00874A27">
          <w:rPr>
            <w:rFonts w:ascii="Arial" w:eastAsia="Times New Roman" w:hAnsi="Arial" w:cs="Arial"/>
            <w:color w:val="336699"/>
            <w:sz w:val="19"/>
            <w:szCs w:val="19"/>
            <w:u w:val="single"/>
            <w:lang w:eastAsia="fr-FR"/>
          </w:rPr>
          <w:t>g de l'article 7 de la loi n° 89-462 du 6 juillet 1989</w:t>
        </w:r>
      </w:hyperlink>
      <w:r w:rsidRPr="00874A27">
        <w:rPr>
          <w:rFonts w:ascii="Arial" w:eastAsia="Times New Roman" w:hAnsi="Arial" w:cs="Arial"/>
          <w:color w:val="000000"/>
          <w:sz w:val="19"/>
          <w:szCs w:val="19"/>
          <w:lang w:eastAsia="fr-FR"/>
        </w:rPr>
        <w:t> tendant à améliorer les rapports locatifs et portant modification de la </w:t>
      </w:r>
      <w:hyperlink r:id="rId104"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ou tout bailleur souscrivant une assurance habitation pour le compte d'un locataire dans les conditions définies au même g qui, ayant sollicité la souscription d'un contrat auprès d'une entreprise d'assurance couvrant en France les risques dont elle doit répondre en sa qualité de locataire, se voit opposer un refus peut saisir le bureau central de tarification prévu à l'article L. 212-1.</w:t>
      </w:r>
      <w:r w:rsidRPr="00874A27">
        <w:rPr>
          <w:rFonts w:ascii="Arial" w:eastAsia="Times New Roman" w:hAnsi="Arial" w:cs="Arial"/>
          <w:color w:val="000000"/>
          <w:sz w:val="19"/>
          <w:szCs w:val="19"/>
          <w:lang w:eastAsia="fr-FR"/>
        </w:rPr>
        <w:br/>
        <w:t>« Le bureau central de tarification fixe le montant de la prime moyennant laquelle l'entreprise d'assurance intéressée est tenue de garantir le risque qui lui a été proposé. Il peut, dans les conditions fixées par décret en Conseil d'Etat, déterminer le montant d'une franchise qui reste à la charge de l'assuré.</w:t>
      </w:r>
      <w:r w:rsidRPr="00874A27">
        <w:rPr>
          <w:rFonts w:ascii="Arial" w:eastAsia="Times New Roman" w:hAnsi="Arial" w:cs="Arial"/>
          <w:color w:val="000000"/>
          <w:sz w:val="19"/>
          <w:szCs w:val="19"/>
          <w:lang w:eastAsia="fr-FR"/>
        </w:rPr>
        <w:br/>
        <w:t>« Toute entreprise d'assurance qui maintient son refus de garantir le risque dont la prime a été fixée par le bureau central de tarification est considérée comme ne fonctionnant plus conformément à la réglementation en vigueur. Elle encourt, selon le cas, soit le retrait des agréments prévus aux articles L. 321-1, L. 321-7, L. 321-8 ou L. 321-9, soit les sanctions prévues aux articles L. 351-7, L. 351-8 et L. 363-4.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21" w:name="JORFARTI000028772573"/>
      <w:bookmarkEnd w:id="21"/>
      <w:r w:rsidRPr="00874A27">
        <w:rPr>
          <w:rFonts w:ascii="Arial" w:eastAsia="Times New Roman" w:hAnsi="Arial" w:cs="Arial"/>
          <w:b/>
          <w:bCs/>
          <w:color w:val="000000"/>
          <w:sz w:val="23"/>
          <w:szCs w:val="23"/>
          <w:lang w:eastAsia="fr-FR"/>
        </w:rPr>
        <w:t>Article 22 </w:t>
      </w:r>
      <w:hyperlink r:id="rId105" w:tooltip="En savoir plus sur l'article 2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Avant la fin de l'année 2014, le Gouvernement transmet au Parlement un rapport évaluant le dispositif de défiscalisation prévu à l'</w:t>
      </w:r>
      <w:hyperlink r:id="rId106" w:history="1">
        <w:r w:rsidRPr="00874A27">
          <w:rPr>
            <w:rFonts w:ascii="Arial" w:eastAsia="Times New Roman" w:hAnsi="Arial" w:cs="Arial"/>
            <w:color w:val="336699"/>
            <w:sz w:val="19"/>
            <w:szCs w:val="19"/>
            <w:u w:val="single"/>
            <w:lang w:eastAsia="fr-FR"/>
          </w:rPr>
          <w:t>article 199 sexvicies du code général des impôts</w:t>
        </w:r>
      </w:hyperlink>
      <w:r w:rsidRPr="00874A27">
        <w:rPr>
          <w:rFonts w:ascii="Arial" w:eastAsia="Times New Roman" w:hAnsi="Arial" w:cs="Arial"/>
          <w:color w:val="000000"/>
          <w:sz w:val="19"/>
          <w:szCs w:val="19"/>
          <w:lang w:eastAsia="fr-FR"/>
        </w:rPr>
        <w:t>, portant notamment sur le nombre de logements de chaque catégorie ayant bénéficié du dispositif.</w:t>
      </w:r>
    </w:p>
    <w:p w:rsidR="00874A27" w:rsidRPr="00874A27" w:rsidRDefault="00874A27" w:rsidP="00874A27">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II : Mettre en place une garantie universelle des loyers</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22" w:name="JORFARTI000028772575"/>
      <w:bookmarkEnd w:id="22"/>
      <w:r w:rsidRPr="00874A27">
        <w:rPr>
          <w:rFonts w:ascii="Arial" w:eastAsia="Times New Roman" w:hAnsi="Arial" w:cs="Arial"/>
          <w:b/>
          <w:bCs/>
          <w:color w:val="000000"/>
          <w:sz w:val="23"/>
          <w:szCs w:val="23"/>
          <w:lang w:eastAsia="fr-FR"/>
        </w:rPr>
        <w:t>Article 23 </w:t>
      </w:r>
      <w:hyperlink r:id="rId107" w:tooltip="En savoir plus sur l'article 2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I.-Après l'article 24-1 de la loi n° 89-462 du 6 juillet 1989 précitée, il est inséré un article 24-2 ainsi rédigé :</w:t>
      </w:r>
      <w:r w:rsidRPr="00874A27">
        <w:rPr>
          <w:rFonts w:ascii="Arial" w:eastAsia="Times New Roman" w:hAnsi="Arial" w:cs="Arial"/>
          <w:color w:val="000000"/>
          <w:sz w:val="19"/>
          <w:szCs w:val="19"/>
          <w:lang w:eastAsia="fr-FR"/>
        </w:rPr>
        <w:br/>
        <w:t>« Art. 24-2.-I. ― Il est créé sous la dénomination de garantie universelle des loyers un dispositif ayant pour objet de couvrir, sous la forme d'un système d'aides, les bailleurs contre les risques d'impayés de loyer, afin de favoriser l'accès au logement et de prévenir les risques d'expulsion.</w:t>
      </w:r>
      <w:r w:rsidRPr="00874A27">
        <w:rPr>
          <w:rFonts w:ascii="Arial" w:eastAsia="Times New Roman" w:hAnsi="Arial" w:cs="Arial"/>
          <w:color w:val="000000"/>
          <w:sz w:val="19"/>
          <w:szCs w:val="19"/>
          <w:lang w:eastAsia="fr-FR"/>
        </w:rPr>
        <w:br/>
        <w:t>« Les impayés de loyer, au sens du présent article, s'entendent des loyers, des charges récupérables et de la contribution pour le partage des économies de charges prévue à l'article 23-1 demeurés impayés.</w:t>
      </w:r>
      <w:r w:rsidRPr="00874A27">
        <w:rPr>
          <w:rFonts w:ascii="Arial" w:eastAsia="Times New Roman" w:hAnsi="Arial" w:cs="Arial"/>
          <w:color w:val="000000"/>
          <w:sz w:val="19"/>
          <w:szCs w:val="19"/>
          <w:lang w:eastAsia="fr-FR"/>
        </w:rPr>
        <w:br/>
        <w:t>« Au sens du présent article, la conclusion d'un contrat de location s'entend de sa conclusion initiale, de son renouvellement dans des conditions différentes ou de la conclusion d'un avenant.</w:t>
      </w:r>
      <w:r w:rsidRPr="00874A27">
        <w:rPr>
          <w:rFonts w:ascii="Arial" w:eastAsia="Times New Roman" w:hAnsi="Arial" w:cs="Arial"/>
          <w:color w:val="000000"/>
          <w:sz w:val="19"/>
          <w:szCs w:val="19"/>
          <w:lang w:eastAsia="fr-FR"/>
        </w:rPr>
        <w:br/>
        <w:t>« A. ― La garantie universelle des loyers s'applique aux contrats de location des catégories de logements suivantes :</w:t>
      </w:r>
      <w:r w:rsidRPr="00874A27">
        <w:rPr>
          <w:rFonts w:ascii="Arial" w:eastAsia="Times New Roman" w:hAnsi="Arial" w:cs="Arial"/>
          <w:color w:val="000000"/>
          <w:sz w:val="19"/>
          <w:szCs w:val="19"/>
          <w:lang w:eastAsia="fr-FR"/>
        </w:rPr>
        <w:br/>
        <w:t>« 1° Logements constituant la résidence principale du preneur définis à l'article 2 ;</w:t>
      </w:r>
      <w:r w:rsidRPr="00874A27">
        <w:rPr>
          <w:rFonts w:ascii="Arial" w:eastAsia="Times New Roman" w:hAnsi="Arial" w:cs="Arial"/>
          <w:color w:val="000000"/>
          <w:sz w:val="19"/>
          <w:szCs w:val="19"/>
          <w:lang w:eastAsia="fr-FR"/>
        </w:rPr>
        <w:br/>
        <w:t>« 2° Logements meublés constituant la résidence principale du preneur, tels que définis aux articles 25-3 et 25-4 ;</w:t>
      </w:r>
      <w:r w:rsidRPr="00874A27">
        <w:rPr>
          <w:rFonts w:ascii="Arial" w:eastAsia="Times New Roman" w:hAnsi="Arial" w:cs="Arial"/>
          <w:color w:val="000000"/>
          <w:sz w:val="19"/>
          <w:szCs w:val="19"/>
          <w:lang w:eastAsia="fr-FR"/>
        </w:rPr>
        <w:br/>
        <w:t xml:space="preserve">« 3° Logements constituant la résidence principale de l'occupant qui sont loués ou gérés par un organisme de maîtrise d'ouvrage d'insertion ou un organisme qui exerce les activités d'intermédiation </w:t>
      </w:r>
      <w:r w:rsidRPr="00874A27">
        <w:rPr>
          <w:rFonts w:ascii="Arial" w:eastAsia="Times New Roman" w:hAnsi="Arial" w:cs="Arial"/>
          <w:color w:val="000000"/>
          <w:sz w:val="19"/>
          <w:szCs w:val="19"/>
          <w:lang w:eastAsia="fr-FR"/>
        </w:rPr>
        <w:lastRenderedPageBreak/>
        <w:t>locative ou de gestion locative sociale mentionnés, respectivement, aux articles </w:t>
      </w:r>
      <w:hyperlink r:id="rId108" w:history="1">
        <w:r w:rsidRPr="00874A27">
          <w:rPr>
            <w:rFonts w:ascii="Arial" w:eastAsia="Times New Roman" w:hAnsi="Arial" w:cs="Arial"/>
            <w:color w:val="336699"/>
            <w:sz w:val="19"/>
            <w:szCs w:val="19"/>
            <w:u w:val="single"/>
            <w:lang w:eastAsia="fr-FR"/>
          </w:rPr>
          <w:t>L. 365-2 </w:t>
        </w:r>
      </w:hyperlink>
      <w:r w:rsidRPr="00874A27">
        <w:rPr>
          <w:rFonts w:ascii="Arial" w:eastAsia="Times New Roman" w:hAnsi="Arial" w:cs="Arial"/>
          <w:color w:val="000000"/>
          <w:sz w:val="19"/>
          <w:szCs w:val="19"/>
          <w:lang w:eastAsia="fr-FR"/>
        </w:rPr>
        <w:t>et </w:t>
      </w:r>
      <w:hyperlink r:id="rId109" w:history="1">
        <w:r w:rsidRPr="00874A27">
          <w:rPr>
            <w:rFonts w:ascii="Arial" w:eastAsia="Times New Roman" w:hAnsi="Arial" w:cs="Arial"/>
            <w:color w:val="336699"/>
            <w:sz w:val="19"/>
            <w:szCs w:val="19"/>
            <w:u w:val="single"/>
            <w:lang w:eastAsia="fr-FR"/>
          </w:rPr>
          <w:t>L. 365-4 </w:t>
        </w:r>
      </w:hyperlink>
      <w:r w:rsidRPr="00874A27">
        <w:rPr>
          <w:rFonts w:ascii="Arial" w:eastAsia="Times New Roman" w:hAnsi="Arial" w:cs="Arial"/>
          <w:color w:val="000000"/>
          <w:sz w:val="19"/>
          <w:szCs w:val="19"/>
          <w:lang w:eastAsia="fr-FR"/>
        </w:rPr>
        <w:t>du code de la construction et de l'habitation.</w:t>
      </w:r>
      <w:r w:rsidRPr="00874A27">
        <w:rPr>
          <w:rFonts w:ascii="Arial" w:eastAsia="Times New Roman" w:hAnsi="Arial" w:cs="Arial"/>
          <w:color w:val="000000"/>
          <w:sz w:val="19"/>
          <w:szCs w:val="19"/>
          <w:lang w:eastAsia="fr-FR"/>
        </w:rPr>
        <w:br/>
        <w:t>« La garantie universelle des loyers s'applique également aux contrats de sous-location des logements mentionnés au 3° du présent A. Pour l'application du présent article à ces contrats, le contrat de sous-location s'entend du contrat de location, le bailleur s'entend du locataire, et le locataire s'entend du sous-locataire.</w:t>
      </w:r>
      <w:r w:rsidRPr="00874A27">
        <w:rPr>
          <w:rFonts w:ascii="Arial" w:eastAsia="Times New Roman" w:hAnsi="Arial" w:cs="Arial"/>
          <w:color w:val="000000"/>
          <w:sz w:val="19"/>
          <w:szCs w:val="19"/>
          <w:lang w:eastAsia="fr-FR"/>
        </w:rPr>
        <w:br/>
        <w:t>« En sont exclus les contrats de location ou de sous-location des logements relevant du service d'intérêt général défini à l'article L. 411-2 du même code et appartenant ou étant gérés par les organismes d'habitations à loyer modéré mentionnés à ce même article ou par les sociétés d'économie mixte mentionnées à l'article L. 481-1 dudit code, ainsi que les contrats de location portant sur les logements appartenant ou étant gérés par ces mêmes organismes et sociétés, situés dans les départements et régions d'outre-mer et à Mayotte, et construits, acquis ou améliorés avec le concours financier de l'Etat.</w:t>
      </w:r>
      <w:r w:rsidRPr="00874A27">
        <w:rPr>
          <w:rFonts w:ascii="Arial" w:eastAsia="Times New Roman" w:hAnsi="Arial" w:cs="Arial"/>
          <w:color w:val="000000"/>
          <w:sz w:val="19"/>
          <w:szCs w:val="19"/>
          <w:lang w:eastAsia="fr-FR"/>
        </w:rPr>
        <w:br/>
        <w:t>« B. ― Les aides versées au titre de la garantie ne peuvent être accordées que lorsque les conditions suivantes sont satisfaites par le bailleur :</w:t>
      </w:r>
      <w:r w:rsidRPr="00874A27">
        <w:rPr>
          <w:rFonts w:ascii="Arial" w:eastAsia="Times New Roman" w:hAnsi="Arial" w:cs="Arial"/>
          <w:color w:val="000000"/>
          <w:sz w:val="19"/>
          <w:szCs w:val="19"/>
          <w:lang w:eastAsia="fr-FR"/>
        </w:rPr>
        <w:br/>
        <w:t>« 1° Le bailleur n'a pas demandé le cautionnement mentionné à l'article 22-1 de la présente loi ;</w:t>
      </w:r>
      <w:r w:rsidRPr="00874A27">
        <w:rPr>
          <w:rFonts w:ascii="Arial" w:eastAsia="Times New Roman" w:hAnsi="Arial" w:cs="Arial"/>
          <w:color w:val="000000"/>
          <w:sz w:val="19"/>
          <w:szCs w:val="19"/>
          <w:lang w:eastAsia="fr-FR"/>
        </w:rPr>
        <w:br/>
        <w:t>« 2° Le bailleur n'a pas souscrit d'assurance pour les risques couverts par la garantie universelle des loyers ;</w:t>
      </w:r>
      <w:r w:rsidRPr="00874A27">
        <w:rPr>
          <w:rFonts w:ascii="Arial" w:eastAsia="Times New Roman" w:hAnsi="Arial" w:cs="Arial"/>
          <w:color w:val="000000"/>
          <w:sz w:val="19"/>
          <w:szCs w:val="19"/>
          <w:lang w:eastAsia="fr-FR"/>
        </w:rPr>
        <w:br/>
        <w:t>« 3° Le logement satisfait aux caractéristiques de décence prévues à l'article 6 ;</w:t>
      </w:r>
      <w:r w:rsidRPr="00874A27">
        <w:rPr>
          <w:rFonts w:ascii="Arial" w:eastAsia="Times New Roman" w:hAnsi="Arial" w:cs="Arial"/>
          <w:color w:val="000000"/>
          <w:sz w:val="19"/>
          <w:szCs w:val="19"/>
          <w:lang w:eastAsia="fr-FR"/>
        </w:rPr>
        <w:br/>
        <w:t>« 4° Le bailleur ne loue pas le logement à l'un de ses ascendants ou descendants, ou à ceux de leur conjoint ou concubin ou de toute personne liée à eux par un pacte civil de solidarité ;</w:t>
      </w:r>
      <w:r w:rsidRPr="00874A27">
        <w:rPr>
          <w:rFonts w:ascii="Arial" w:eastAsia="Times New Roman" w:hAnsi="Arial" w:cs="Arial"/>
          <w:color w:val="000000"/>
          <w:sz w:val="19"/>
          <w:szCs w:val="19"/>
          <w:lang w:eastAsia="fr-FR"/>
        </w:rPr>
        <w:br/>
        <w:t>« 5° Le bailleur a déclaré son contrat de location auprès de l'agence mentionnée au II du présent article dans les conditions prévues au même II ;</w:t>
      </w:r>
      <w:r w:rsidRPr="00874A27">
        <w:rPr>
          <w:rFonts w:ascii="Arial" w:eastAsia="Times New Roman" w:hAnsi="Arial" w:cs="Arial"/>
          <w:color w:val="000000"/>
          <w:sz w:val="19"/>
          <w:szCs w:val="19"/>
          <w:lang w:eastAsia="fr-FR"/>
        </w:rPr>
        <w:br/>
        <w:t>« 6° Le contrat de location est établi par écrit, respecte le contrat type prévu à l'article 3 et ne mentionne pas le renoncement au bénéfice de la garantie universelle des loyers ;</w:t>
      </w:r>
      <w:r w:rsidRPr="00874A27">
        <w:rPr>
          <w:rFonts w:ascii="Arial" w:eastAsia="Times New Roman" w:hAnsi="Arial" w:cs="Arial"/>
          <w:color w:val="000000"/>
          <w:sz w:val="19"/>
          <w:szCs w:val="19"/>
          <w:lang w:eastAsia="fr-FR"/>
        </w:rPr>
        <w:br/>
        <w:t>« 7° Lorsque le locataire bénéficie de l'aide personnelle au logement, le bailleur demande son versement entre ses mains dans des conditions fixées par décret.</w:t>
      </w:r>
      <w:r w:rsidRPr="00874A27">
        <w:rPr>
          <w:rFonts w:ascii="Arial" w:eastAsia="Times New Roman" w:hAnsi="Arial" w:cs="Arial"/>
          <w:color w:val="000000"/>
          <w:sz w:val="19"/>
          <w:szCs w:val="19"/>
          <w:lang w:eastAsia="fr-FR"/>
        </w:rPr>
        <w:br/>
        <w:t>« Toutefois, le 1° du présent B ne s'applique pas lorsque le locataire est étudiant ou apprenti.</w:t>
      </w:r>
      <w:r w:rsidRPr="00874A27">
        <w:rPr>
          <w:rFonts w:ascii="Arial" w:eastAsia="Times New Roman" w:hAnsi="Arial" w:cs="Arial"/>
          <w:color w:val="000000"/>
          <w:sz w:val="19"/>
          <w:szCs w:val="19"/>
          <w:lang w:eastAsia="fr-FR"/>
        </w:rPr>
        <w:br/>
        <w:t>« Le bénéfice de la garantie est refusé lorsque le bailleur a fait l'objet d'une interdiction de bénéficier de la garantie en application du E du II ou lorsque, depuis moins de dix ans, il a été mis en demeure de faire cesser la mise à disposition aux fins d'habitation de locaux impropres à l'habitation en application de l'</w:t>
      </w:r>
      <w:hyperlink r:id="rId110" w:history="1">
        <w:r w:rsidRPr="00874A27">
          <w:rPr>
            <w:rFonts w:ascii="Arial" w:eastAsia="Times New Roman" w:hAnsi="Arial" w:cs="Arial"/>
            <w:color w:val="336699"/>
            <w:sz w:val="19"/>
            <w:szCs w:val="19"/>
            <w:u w:val="single"/>
            <w:lang w:eastAsia="fr-FR"/>
          </w:rPr>
          <w:t>article L. 1331-22 du code de la santé publique </w:t>
        </w:r>
      </w:hyperlink>
      <w:r w:rsidRPr="00874A27">
        <w:rPr>
          <w:rFonts w:ascii="Arial" w:eastAsia="Times New Roman" w:hAnsi="Arial" w:cs="Arial"/>
          <w:color w:val="000000"/>
          <w:sz w:val="19"/>
          <w:szCs w:val="19"/>
          <w:lang w:eastAsia="fr-FR"/>
        </w:rPr>
        <w:t>ou a proposé à la location un logement ayant fait l'objet d'un arrêté de péril pris en application des articles </w:t>
      </w:r>
      <w:hyperlink r:id="rId111" w:history="1">
        <w:r w:rsidRPr="00874A27">
          <w:rPr>
            <w:rFonts w:ascii="Arial" w:eastAsia="Times New Roman" w:hAnsi="Arial" w:cs="Arial"/>
            <w:color w:val="336699"/>
            <w:sz w:val="19"/>
            <w:szCs w:val="19"/>
            <w:u w:val="single"/>
            <w:lang w:eastAsia="fr-FR"/>
          </w:rPr>
          <w:t>L. 511-1 </w:t>
        </w:r>
      </w:hyperlink>
      <w:r w:rsidRPr="00874A27">
        <w:rPr>
          <w:rFonts w:ascii="Arial" w:eastAsia="Times New Roman" w:hAnsi="Arial" w:cs="Arial"/>
          <w:color w:val="000000"/>
          <w:sz w:val="19"/>
          <w:szCs w:val="19"/>
          <w:lang w:eastAsia="fr-FR"/>
        </w:rPr>
        <w:t>ou </w:t>
      </w:r>
      <w:hyperlink r:id="rId112" w:history="1">
        <w:r w:rsidRPr="00874A27">
          <w:rPr>
            <w:rFonts w:ascii="Arial" w:eastAsia="Times New Roman" w:hAnsi="Arial" w:cs="Arial"/>
            <w:color w:val="336699"/>
            <w:sz w:val="19"/>
            <w:szCs w:val="19"/>
            <w:u w:val="single"/>
            <w:lang w:eastAsia="fr-FR"/>
          </w:rPr>
          <w:t>L. 511-3 </w:t>
        </w:r>
      </w:hyperlink>
      <w:r w:rsidRPr="00874A27">
        <w:rPr>
          <w:rFonts w:ascii="Arial" w:eastAsia="Times New Roman" w:hAnsi="Arial" w:cs="Arial"/>
          <w:color w:val="000000"/>
          <w:sz w:val="19"/>
          <w:szCs w:val="19"/>
          <w:lang w:eastAsia="fr-FR"/>
        </w:rPr>
        <w:t>du code de la construction et de l'habitation ou d'un arrêté d'insalubrité mentionné aux articles </w:t>
      </w:r>
      <w:hyperlink r:id="rId113" w:history="1">
        <w:r w:rsidRPr="00874A27">
          <w:rPr>
            <w:rFonts w:ascii="Arial" w:eastAsia="Times New Roman" w:hAnsi="Arial" w:cs="Arial"/>
            <w:color w:val="336699"/>
            <w:sz w:val="19"/>
            <w:szCs w:val="19"/>
            <w:u w:val="single"/>
            <w:lang w:eastAsia="fr-FR"/>
          </w:rPr>
          <w:t>L. 1331-26-1 </w:t>
        </w:r>
      </w:hyperlink>
      <w:r w:rsidRPr="00874A27">
        <w:rPr>
          <w:rFonts w:ascii="Arial" w:eastAsia="Times New Roman" w:hAnsi="Arial" w:cs="Arial"/>
          <w:color w:val="000000"/>
          <w:sz w:val="19"/>
          <w:szCs w:val="19"/>
          <w:lang w:eastAsia="fr-FR"/>
        </w:rPr>
        <w:t>ou </w:t>
      </w:r>
      <w:hyperlink r:id="rId114" w:history="1">
        <w:r w:rsidRPr="00874A27">
          <w:rPr>
            <w:rFonts w:ascii="Arial" w:eastAsia="Times New Roman" w:hAnsi="Arial" w:cs="Arial"/>
            <w:color w:val="336699"/>
            <w:sz w:val="19"/>
            <w:szCs w:val="19"/>
            <w:u w:val="single"/>
            <w:lang w:eastAsia="fr-FR"/>
          </w:rPr>
          <w:t>L. 1331-28 </w:t>
        </w:r>
      </w:hyperlink>
      <w:r w:rsidRPr="00874A27">
        <w:rPr>
          <w:rFonts w:ascii="Arial" w:eastAsia="Times New Roman" w:hAnsi="Arial" w:cs="Arial"/>
          <w:color w:val="000000"/>
          <w:sz w:val="19"/>
          <w:szCs w:val="19"/>
          <w:lang w:eastAsia="fr-FR"/>
        </w:rPr>
        <w:t>du code de la santé publique, sauf lorsque l'autorité responsable a prononcé la mainlevée de l'arrêté.</w:t>
      </w:r>
      <w:r w:rsidRPr="00874A27">
        <w:rPr>
          <w:rFonts w:ascii="Arial" w:eastAsia="Times New Roman" w:hAnsi="Arial" w:cs="Arial"/>
          <w:color w:val="000000"/>
          <w:sz w:val="19"/>
          <w:szCs w:val="19"/>
          <w:lang w:eastAsia="fr-FR"/>
        </w:rPr>
        <w:br/>
        <w:t>« C. ― Le bénéfice de la garantie est subordonné au contrôle, par le bailleur, du respect des conditions suivantes par le locataire à la date de la conclusion du contrat de location :</w:t>
      </w:r>
      <w:r w:rsidRPr="00874A27">
        <w:rPr>
          <w:rFonts w:ascii="Arial" w:eastAsia="Times New Roman" w:hAnsi="Arial" w:cs="Arial"/>
          <w:color w:val="000000"/>
          <w:sz w:val="19"/>
          <w:szCs w:val="19"/>
          <w:lang w:eastAsia="fr-FR"/>
        </w:rPr>
        <w:br/>
        <w:t>« 1° Le locataire n'est pas redevable d'une dette créée ou augmentée depuis moins de deux ans vis-à-vis de l'agence mentionnée au II du présent article et supérieure à un seuil défini par décret, sauf si l'une des conditions suivantes est remplie :</w:t>
      </w:r>
      <w:r w:rsidRPr="00874A27">
        <w:rPr>
          <w:rFonts w:ascii="Arial" w:eastAsia="Times New Roman" w:hAnsi="Arial" w:cs="Arial"/>
          <w:color w:val="000000"/>
          <w:sz w:val="19"/>
          <w:szCs w:val="19"/>
          <w:lang w:eastAsia="fr-FR"/>
        </w:rPr>
        <w:br/>
        <w:t>« a) Le locataire a signé un plan d'apurement de cette dette ;</w:t>
      </w:r>
      <w:r w:rsidRPr="00874A27">
        <w:rPr>
          <w:rFonts w:ascii="Arial" w:eastAsia="Times New Roman" w:hAnsi="Arial" w:cs="Arial"/>
          <w:color w:val="000000"/>
          <w:sz w:val="19"/>
          <w:szCs w:val="19"/>
          <w:lang w:eastAsia="fr-FR"/>
        </w:rPr>
        <w:br/>
        <w:t>« b) Sa demande formée en application du </w:t>
      </w:r>
      <w:hyperlink r:id="rId115" w:history="1">
        <w:r w:rsidRPr="00874A27">
          <w:rPr>
            <w:rFonts w:ascii="Arial" w:eastAsia="Times New Roman" w:hAnsi="Arial" w:cs="Arial"/>
            <w:color w:val="336699"/>
            <w:sz w:val="19"/>
            <w:szCs w:val="19"/>
            <w:u w:val="single"/>
            <w:lang w:eastAsia="fr-FR"/>
          </w:rPr>
          <w:t>premier alinéa du I de l'article L. 331-3 du code de la consommation </w:t>
        </w:r>
      </w:hyperlink>
      <w:r w:rsidRPr="00874A27">
        <w:rPr>
          <w:rFonts w:ascii="Arial" w:eastAsia="Times New Roman" w:hAnsi="Arial" w:cs="Arial"/>
          <w:color w:val="000000"/>
          <w:sz w:val="19"/>
          <w:szCs w:val="19"/>
          <w:lang w:eastAsia="fr-FR"/>
        </w:rPr>
        <w:t>a été déclarée recevable ;</w:t>
      </w:r>
      <w:r w:rsidRPr="00874A27">
        <w:rPr>
          <w:rFonts w:ascii="Arial" w:eastAsia="Times New Roman" w:hAnsi="Arial" w:cs="Arial"/>
          <w:color w:val="000000"/>
          <w:sz w:val="19"/>
          <w:szCs w:val="19"/>
          <w:lang w:eastAsia="fr-FR"/>
        </w:rPr>
        <w:br/>
        <w:t>« c) Le locataire loue un logement loué ou géré par un organisme mentionné au IV du présent article ;</w:t>
      </w:r>
      <w:r w:rsidRPr="00874A27">
        <w:rPr>
          <w:rFonts w:ascii="Arial" w:eastAsia="Times New Roman" w:hAnsi="Arial" w:cs="Arial"/>
          <w:color w:val="000000"/>
          <w:sz w:val="19"/>
          <w:szCs w:val="19"/>
          <w:lang w:eastAsia="fr-FR"/>
        </w:rPr>
        <w:br/>
        <w:t>« 2° Le locataire ne fait pas l'objet d'une interdiction de bénéficier de la garantie en application du E du II.</w:t>
      </w:r>
      <w:r w:rsidRPr="00874A27">
        <w:rPr>
          <w:rFonts w:ascii="Arial" w:eastAsia="Times New Roman" w:hAnsi="Arial" w:cs="Arial"/>
          <w:color w:val="000000"/>
          <w:sz w:val="19"/>
          <w:szCs w:val="19"/>
          <w:lang w:eastAsia="fr-FR"/>
        </w:rPr>
        <w:br/>
        <w:t>« Pour la mise en œuvre du présent C, un justificatif du respect de ces conditions est délivré au candidat locataire, à sa demande.</w:t>
      </w:r>
      <w:r w:rsidRPr="00874A27">
        <w:rPr>
          <w:rFonts w:ascii="Arial" w:eastAsia="Times New Roman" w:hAnsi="Arial" w:cs="Arial"/>
          <w:color w:val="000000"/>
          <w:sz w:val="19"/>
          <w:szCs w:val="19"/>
          <w:lang w:eastAsia="fr-FR"/>
        </w:rPr>
        <w:br/>
        <w:t>« D. ― Le montant de l'aide versée au titre de la garantie est ainsi calculé :</w:t>
      </w:r>
      <w:r w:rsidRPr="00874A27">
        <w:rPr>
          <w:rFonts w:ascii="Arial" w:eastAsia="Times New Roman" w:hAnsi="Arial" w:cs="Arial"/>
          <w:color w:val="000000"/>
          <w:sz w:val="19"/>
          <w:szCs w:val="19"/>
          <w:lang w:eastAsia="fr-FR"/>
        </w:rPr>
        <w:br/>
        <w:t>« 1° Le montant est déterminé par référence au montant des impayés de loyer ;</w:t>
      </w:r>
      <w:r w:rsidRPr="00874A27">
        <w:rPr>
          <w:rFonts w:ascii="Arial" w:eastAsia="Times New Roman" w:hAnsi="Arial" w:cs="Arial"/>
          <w:color w:val="000000"/>
          <w:sz w:val="19"/>
          <w:szCs w:val="19"/>
          <w:lang w:eastAsia="fr-FR"/>
        </w:rPr>
        <w:br/>
        <w:t>« 2° L'aide est versée dans la limite d'un plafond modulé en fonction de la localisation du logement, de sa catégorie et de sa surface.</w:t>
      </w:r>
      <w:r w:rsidRPr="00874A27">
        <w:rPr>
          <w:rFonts w:ascii="Arial" w:eastAsia="Times New Roman" w:hAnsi="Arial" w:cs="Arial"/>
          <w:color w:val="000000"/>
          <w:sz w:val="19"/>
          <w:szCs w:val="19"/>
          <w:lang w:eastAsia="fr-FR"/>
        </w:rPr>
        <w:br/>
        <w:t>« Dans les zones mentionnées au I de l'article 17, ce plafond est égal au loyer de référence mentionné au même article ou, lorsque le logement est loué meublé, au loyer de référence mentionné à l'article 25-9.</w:t>
      </w:r>
      <w:r w:rsidRPr="00874A27">
        <w:rPr>
          <w:rFonts w:ascii="Arial" w:eastAsia="Times New Roman" w:hAnsi="Arial" w:cs="Arial"/>
          <w:color w:val="000000"/>
          <w:sz w:val="19"/>
          <w:szCs w:val="19"/>
          <w:lang w:eastAsia="fr-FR"/>
        </w:rPr>
        <w:br/>
        <w:t>« Le plafond est majoré lorsque le locataire est, à la date de conclusion du contrat de location, étudiant, apprenti, salarié titulaire d'un contrat autre qu'un contrat à durée indéterminée ou demandeur d'emploi. Dans les zones mentionnées au quatrième alinéa du présent D, ce plafond majoré ne peut être supérieur au loyer de référence majoré mentionné au même article 17 ou, lorsque le logement est loué meublé, au loyer de référence majoré mentionné au même article 25-9.</w:t>
      </w:r>
      <w:r w:rsidRPr="00874A27">
        <w:rPr>
          <w:rFonts w:ascii="Arial" w:eastAsia="Times New Roman" w:hAnsi="Arial" w:cs="Arial"/>
          <w:color w:val="000000"/>
          <w:sz w:val="19"/>
          <w:szCs w:val="19"/>
          <w:lang w:eastAsia="fr-FR"/>
        </w:rPr>
        <w:br/>
        <w:t>« En outre, ce plafond est complété :</w:t>
      </w:r>
      <w:r w:rsidRPr="00874A27">
        <w:rPr>
          <w:rFonts w:ascii="Arial" w:eastAsia="Times New Roman" w:hAnsi="Arial" w:cs="Arial"/>
          <w:color w:val="000000"/>
          <w:sz w:val="19"/>
          <w:szCs w:val="19"/>
          <w:lang w:eastAsia="fr-FR"/>
        </w:rPr>
        <w:br/>
        <w:t>« a) D'un montant représentatif des charges récupérables déterminé en fonction de la localisation du logement, de sa catégorie et de sa surface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b) De la contribution pour le partage des économies de charges, si elle s'applique au contrat de location ;</w:t>
      </w:r>
      <w:r w:rsidRPr="00874A27">
        <w:rPr>
          <w:rFonts w:ascii="Arial" w:eastAsia="Times New Roman" w:hAnsi="Arial" w:cs="Arial"/>
          <w:color w:val="000000"/>
          <w:sz w:val="19"/>
          <w:szCs w:val="19"/>
          <w:lang w:eastAsia="fr-FR"/>
        </w:rPr>
        <w:br/>
        <w:t>« 3° L'aide est versée sous réserve d'un montant minimal d'impayés de loyers ouvrant droit à la garantie et n'est accordée qu'à l'issue d'un délai de carence après la conclusion du contrat de location et pour une durée maximale fixés par voie réglementaire ;</w:t>
      </w:r>
      <w:r w:rsidRPr="00874A27">
        <w:rPr>
          <w:rFonts w:ascii="Arial" w:eastAsia="Times New Roman" w:hAnsi="Arial" w:cs="Arial"/>
          <w:color w:val="000000"/>
          <w:sz w:val="19"/>
          <w:szCs w:val="19"/>
          <w:lang w:eastAsia="fr-FR"/>
        </w:rPr>
        <w:br/>
        <w:t>« 4° Le montant de l'aide est réduit ou l'aide est supprimée dans les cas suivants :</w:t>
      </w:r>
      <w:r w:rsidRPr="00874A27">
        <w:rPr>
          <w:rFonts w:ascii="Arial" w:eastAsia="Times New Roman" w:hAnsi="Arial" w:cs="Arial"/>
          <w:color w:val="000000"/>
          <w:sz w:val="19"/>
          <w:szCs w:val="19"/>
          <w:lang w:eastAsia="fr-FR"/>
        </w:rPr>
        <w:br/>
        <w:t>« a) Le bailleur déclare tardivement les impayés de loyer ;</w:t>
      </w:r>
      <w:r w:rsidRPr="00874A27">
        <w:rPr>
          <w:rFonts w:ascii="Arial" w:eastAsia="Times New Roman" w:hAnsi="Arial" w:cs="Arial"/>
          <w:color w:val="000000"/>
          <w:sz w:val="19"/>
          <w:szCs w:val="19"/>
          <w:lang w:eastAsia="fr-FR"/>
        </w:rPr>
        <w:br/>
        <w:t>« b) Le bailleur fait preuve de négligence dans l'exercice de ses droits ;</w:t>
      </w:r>
      <w:r w:rsidRPr="00874A27">
        <w:rPr>
          <w:rFonts w:ascii="Arial" w:eastAsia="Times New Roman" w:hAnsi="Arial" w:cs="Arial"/>
          <w:color w:val="000000"/>
          <w:sz w:val="19"/>
          <w:szCs w:val="19"/>
          <w:lang w:eastAsia="fr-FR"/>
        </w:rPr>
        <w:br/>
        <w:t>« c) Le loyer représente plus de la moitié des ressources du locataire à la date de conclusion du contrat de location.</w:t>
      </w:r>
      <w:r w:rsidRPr="00874A27">
        <w:rPr>
          <w:rFonts w:ascii="Arial" w:eastAsia="Times New Roman" w:hAnsi="Arial" w:cs="Arial"/>
          <w:color w:val="000000"/>
          <w:sz w:val="19"/>
          <w:szCs w:val="19"/>
          <w:lang w:eastAsia="fr-FR"/>
        </w:rPr>
        <w:br/>
        <w:t>« Toutefois, dans le cas prévu au c, la réduction ou la suppression de l'aide ne s'applique pas dans les cas suivants :</w:t>
      </w:r>
      <w:r w:rsidRPr="00874A27">
        <w:rPr>
          <w:rFonts w:ascii="Arial" w:eastAsia="Times New Roman" w:hAnsi="Arial" w:cs="Arial"/>
          <w:color w:val="000000"/>
          <w:sz w:val="19"/>
          <w:szCs w:val="19"/>
          <w:lang w:eastAsia="fr-FR"/>
        </w:rPr>
        <w:br/>
        <w:t>« ― le locataire est étudiant ou apprenti, à la date de conclusion du contrat de location, et dispose du cautionnement mentionné à l'article 22-1 ;</w:t>
      </w:r>
      <w:r w:rsidRPr="00874A27">
        <w:rPr>
          <w:rFonts w:ascii="Arial" w:eastAsia="Times New Roman" w:hAnsi="Arial" w:cs="Arial"/>
          <w:color w:val="000000"/>
          <w:sz w:val="19"/>
          <w:szCs w:val="19"/>
          <w:lang w:eastAsia="fr-FR"/>
        </w:rPr>
        <w:br/>
        <w:t>« ― le logement est loué ou géré par un organisme mentionné au IV du présent article ;</w:t>
      </w:r>
      <w:r w:rsidRPr="00874A27">
        <w:rPr>
          <w:rFonts w:ascii="Arial" w:eastAsia="Times New Roman" w:hAnsi="Arial" w:cs="Arial"/>
          <w:color w:val="000000"/>
          <w:sz w:val="19"/>
          <w:szCs w:val="19"/>
          <w:lang w:eastAsia="fr-FR"/>
        </w:rPr>
        <w:br/>
        <w:t>« 5° Une franchise est appliquée.</w:t>
      </w:r>
      <w:r w:rsidRPr="00874A27">
        <w:rPr>
          <w:rFonts w:ascii="Arial" w:eastAsia="Times New Roman" w:hAnsi="Arial" w:cs="Arial"/>
          <w:color w:val="000000"/>
          <w:sz w:val="19"/>
          <w:szCs w:val="19"/>
          <w:lang w:eastAsia="fr-FR"/>
        </w:rPr>
        <w:br/>
        <w:t>« Cette franchise ne peut pas être appliquée lorsque le logement est loué ou géré par un organisme mentionné au même IV ou lorsque, à la date de conclusion du contrat de location, le locataire est étudiant, apprenti ou salarié titulaire d'un contrat autre qu'un contrat à durée indéterminée ou demandeur d'emploi ;</w:t>
      </w:r>
      <w:r w:rsidRPr="00874A27">
        <w:rPr>
          <w:rFonts w:ascii="Arial" w:eastAsia="Times New Roman" w:hAnsi="Arial" w:cs="Arial"/>
          <w:color w:val="000000"/>
          <w:sz w:val="19"/>
          <w:szCs w:val="19"/>
          <w:lang w:eastAsia="fr-FR"/>
        </w:rPr>
        <w:br/>
        <w:t>« 6° Lorsque le logement est à usage mixte professionnel et d'habitation, l'aide peut être réduite.</w:t>
      </w:r>
      <w:r w:rsidRPr="00874A27">
        <w:rPr>
          <w:rFonts w:ascii="Arial" w:eastAsia="Times New Roman" w:hAnsi="Arial" w:cs="Arial"/>
          <w:color w:val="000000"/>
          <w:sz w:val="19"/>
          <w:szCs w:val="19"/>
          <w:lang w:eastAsia="fr-FR"/>
        </w:rPr>
        <w:br/>
        <w:t>« E. ― Les aides versées au titre de la garantie ouvrent droit à un recours subrogatoire contre le locataire et, le cas échéant, contre la personne qui s'est portée caution.</w:t>
      </w:r>
      <w:r w:rsidRPr="00874A27">
        <w:rPr>
          <w:rFonts w:ascii="Arial" w:eastAsia="Times New Roman" w:hAnsi="Arial" w:cs="Arial"/>
          <w:color w:val="000000"/>
          <w:sz w:val="19"/>
          <w:szCs w:val="19"/>
          <w:lang w:eastAsia="fr-FR"/>
        </w:rPr>
        <w:br/>
        <w:t>« Toutefois, l'agence mentionnée au II peut exercer ses droits à l'encontre du locataire par préférence aux droits du bailleur existant au jour de l'octroi de l'aide. Dans tous les cas, l'agence dispose de la faculté de ne pas exercer une partie ou la totalité de ses droits si elle juge que la situation d'impayés est principalement due aux graves difficultés économiques et sociales du locataire.</w:t>
      </w:r>
      <w:r w:rsidRPr="00874A27">
        <w:rPr>
          <w:rFonts w:ascii="Arial" w:eastAsia="Times New Roman" w:hAnsi="Arial" w:cs="Arial"/>
          <w:color w:val="000000"/>
          <w:sz w:val="19"/>
          <w:szCs w:val="19"/>
          <w:lang w:eastAsia="fr-FR"/>
        </w:rPr>
        <w:br/>
        <w:t>« Le recouvrement des créances au profit de l'agence est effectué par l'Etat, comme en matière de créances étrangères à l'impôt. L'Etat est subrogé dans les droits de l'agence pour le recouvrement des créances à l'encontre du locataire mentionné au premier alinéa.</w:t>
      </w:r>
      <w:r w:rsidRPr="00874A27">
        <w:rPr>
          <w:rFonts w:ascii="Arial" w:eastAsia="Times New Roman" w:hAnsi="Arial" w:cs="Arial"/>
          <w:color w:val="000000"/>
          <w:sz w:val="19"/>
          <w:szCs w:val="19"/>
          <w:lang w:eastAsia="fr-FR"/>
        </w:rPr>
        <w:br/>
        <w:t>« Les sommes recouvrées par l'Etat pour le compte de l'agence lui sont reversées.</w:t>
      </w:r>
      <w:r w:rsidRPr="00874A27">
        <w:rPr>
          <w:rFonts w:ascii="Arial" w:eastAsia="Times New Roman" w:hAnsi="Arial" w:cs="Arial"/>
          <w:color w:val="000000"/>
          <w:sz w:val="19"/>
          <w:szCs w:val="19"/>
          <w:lang w:eastAsia="fr-FR"/>
        </w:rPr>
        <w:br/>
        <w:t>« F. ― Les actions contentieuses introduites par le bailleur en raison du non-paiement du loyer, des charges récupérables ou de la contribution pour le partage des économies de charges ne peuvent être rejetées du seul fait que le bailleur a perçu une aide en application du présent article.</w:t>
      </w:r>
      <w:r w:rsidRPr="00874A27">
        <w:rPr>
          <w:rFonts w:ascii="Arial" w:eastAsia="Times New Roman" w:hAnsi="Arial" w:cs="Arial"/>
          <w:color w:val="000000"/>
          <w:sz w:val="19"/>
          <w:szCs w:val="19"/>
          <w:lang w:eastAsia="fr-FR"/>
        </w:rPr>
        <w:br/>
        <w:t>« G. ― Un décret en Conseil d'Etat fixe les modalités d'application du présent I, sauf le montant minimal d'impayés ouvrant droit à la garantie, le plafond pris en compte pour le calcul de l'aide, le montant représentatif des charges récupérables, les modalités d'application de la franchise, la durée maximale d'octroi de l'aide et le délai de carence mentionnés au D, qui sont fixés par décret. Le décret en Conseil d'Etat définit, notamment, les conditions et délais de déclaration à respecter pour le bénéfice de la garantie, ainsi que les conditions de versement de l'aide.</w:t>
      </w:r>
      <w:r w:rsidRPr="00874A27">
        <w:rPr>
          <w:rFonts w:ascii="Arial" w:eastAsia="Times New Roman" w:hAnsi="Arial" w:cs="Arial"/>
          <w:color w:val="000000"/>
          <w:sz w:val="19"/>
          <w:szCs w:val="19"/>
          <w:lang w:eastAsia="fr-FR"/>
        </w:rPr>
        <w:br/>
        <w:t>« II. ― Il est créé, sous la forme d'un établissement public administratif de l'Etat, une Agence de la garantie universelle des loyers.</w:t>
      </w:r>
      <w:r w:rsidRPr="00874A27">
        <w:rPr>
          <w:rFonts w:ascii="Arial" w:eastAsia="Times New Roman" w:hAnsi="Arial" w:cs="Arial"/>
          <w:color w:val="000000"/>
          <w:sz w:val="19"/>
          <w:szCs w:val="19"/>
          <w:lang w:eastAsia="fr-FR"/>
        </w:rPr>
        <w:br/>
        <w:t>« A. ― L'Agence de la garantie universelle des loyers est chargée de mettre en place et d'administrer la garantie prévue au I, directement ou par l'intermédiaire des organismes mentionnés au III, et de contrôler sa mise en œuvre ainsi que l'activité desdits organismes. A ce titre, elle peut financer des actions d'accompagnement social des locataires en situation d'impayés de loyer.</w:t>
      </w:r>
      <w:r w:rsidRPr="00874A27">
        <w:rPr>
          <w:rFonts w:ascii="Arial" w:eastAsia="Times New Roman" w:hAnsi="Arial" w:cs="Arial"/>
          <w:color w:val="000000"/>
          <w:sz w:val="19"/>
          <w:szCs w:val="19"/>
          <w:lang w:eastAsia="fr-FR"/>
        </w:rPr>
        <w:br/>
        <w:t>« L'agence peut également, à titre complémentaire, mettre en place un dispositif d'aide au profit des bailleurs pour les frais contentieux et pour les dégradations locatives des logements loués ou gérés par les organismes mentionnés au IV.</w:t>
      </w:r>
      <w:r w:rsidRPr="00874A27">
        <w:rPr>
          <w:rFonts w:ascii="Arial" w:eastAsia="Times New Roman" w:hAnsi="Arial" w:cs="Arial"/>
          <w:color w:val="000000"/>
          <w:sz w:val="19"/>
          <w:szCs w:val="19"/>
          <w:lang w:eastAsia="fr-FR"/>
        </w:rPr>
        <w:br/>
        <w:t>« L'agence agrée les organismes mentionnés aux III et IV pour l'application de la garantie universelle des loyers.</w:t>
      </w:r>
      <w:r w:rsidRPr="00874A27">
        <w:rPr>
          <w:rFonts w:ascii="Arial" w:eastAsia="Times New Roman" w:hAnsi="Arial" w:cs="Arial"/>
          <w:color w:val="000000"/>
          <w:sz w:val="19"/>
          <w:szCs w:val="19"/>
          <w:lang w:eastAsia="fr-FR"/>
        </w:rPr>
        <w:br/>
        <w:t>« L'agence peut gérer, directement ou par l'intermédiaire des organismes mentionnés au III, au nom et pour le compte des personnes concernées, les aides aux bailleurs que des personnes publiques ou morales de droit privé apportent sur leur budget propre.</w:t>
      </w:r>
      <w:r w:rsidRPr="00874A27">
        <w:rPr>
          <w:rFonts w:ascii="Arial" w:eastAsia="Times New Roman" w:hAnsi="Arial" w:cs="Arial"/>
          <w:color w:val="000000"/>
          <w:sz w:val="19"/>
          <w:szCs w:val="19"/>
          <w:lang w:eastAsia="fr-FR"/>
        </w:rPr>
        <w:br/>
        <w:t>« Pour l'exercice des attributions mentionnées aux troisième et quatrième alinéas du présent A, l'agence conclut des conventions avec les organismes et personnes en cause.</w:t>
      </w:r>
      <w:r w:rsidRPr="00874A27">
        <w:rPr>
          <w:rFonts w:ascii="Arial" w:eastAsia="Times New Roman" w:hAnsi="Arial" w:cs="Arial"/>
          <w:color w:val="000000"/>
          <w:sz w:val="19"/>
          <w:szCs w:val="19"/>
          <w:lang w:eastAsia="fr-FR"/>
        </w:rPr>
        <w:br/>
        <w:t>« L'agence peut également mener toute étude ou action ayant pour objet de sécuriser les relations entre bailleurs et locataires ou d'améliorer la gestion et le traitement des impayés de loyer et l'accompagnement des locataires en situation d'impayés.</w:t>
      </w:r>
      <w:r w:rsidRPr="00874A27">
        <w:rPr>
          <w:rFonts w:ascii="Arial" w:eastAsia="Times New Roman" w:hAnsi="Arial" w:cs="Arial"/>
          <w:color w:val="000000"/>
          <w:sz w:val="19"/>
          <w:szCs w:val="19"/>
          <w:lang w:eastAsia="fr-FR"/>
        </w:rPr>
        <w:br/>
        <w:t>« B. ― L'agence est administrée par un conseil d'administration composé de quatre collèges :</w:t>
      </w:r>
      <w:r w:rsidRPr="00874A27">
        <w:rPr>
          <w:rFonts w:ascii="Arial" w:eastAsia="Times New Roman" w:hAnsi="Arial" w:cs="Arial"/>
          <w:color w:val="000000"/>
          <w:sz w:val="19"/>
          <w:szCs w:val="19"/>
          <w:lang w:eastAsia="fr-FR"/>
        </w:rPr>
        <w:br/>
        <w:t>« 1° Un collège de représentants de l'Etat ;</w:t>
      </w:r>
      <w:r w:rsidRPr="00874A27">
        <w:rPr>
          <w:rFonts w:ascii="Arial" w:eastAsia="Times New Roman" w:hAnsi="Arial" w:cs="Arial"/>
          <w:color w:val="000000"/>
          <w:sz w:val="19"/>
          <w:szCs w:val="19"/>
          <w:lang w:eastAsia="fr-FR"/>
        </w:rPr>
        <w:br/>
        <w:t>« 2° Un collège de représentants d'organisations syndicales et patronales membres de l'Union des entreprises et des salariés pour le logement mentionnée à l'</w:t>
      </w:r>
      <w:hyperlink r:id="rId116" w:history="1">
        <w:r w:rsidRPr="00874A27">
          <w:rPr>
            <w:rFonts w:ascii="Arial" w:eastAsia="Times New Roman" w:hAnsi="Arial" w:cs="Arial"/>
            <w:color w:val="336699"/>
            <w:sz w:val="19"/>
            <w:szCs w:val="19"/>
            <w:u w:val="single"/>
            <w:lang w:eastAsia="fr-FR"/>
          </w:rPr>
          <w:t>article L. 313-17 du code de la construction et de l'habitation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3° Un collège de parlementaires comprenant autant de sénateurs que de députés ;</w:t>
      </w:r>
      <w:r w:rsidRPr="00874A27">
        <w:rPr>
          <w:rFonts w:ascii="Arial" w:eastAsia="Times New Roman" w:hAnsi="Arial" w:cs="Arial"/>
          <w:color w:val="000000"/>
          <w:sz w:val="19"/>
          <w:szCs w:val="19"/>
          <w:lang w:eastAsia="fr-FR"/>
        </w:rPr>
        <w:br/>
        <w:t>« 4° Un collège de personnalités qualifiées.</w:t>
      </w:r>
      <w:r w:rsidRPr="00874A27">
        <w:rPr>
          <w:rFonts w:ascii="Arial" w:eastAsia="Times New Roman" w:hAnsi="Arial" w:cs="Arial"/>
          <w:color w:val="000000"/>
          <w:sz w:val="19"/>
          <w:szCs w:val="19"/>
          <w:lang w:eastAsia="fr-FR"/>
        </w:rPr>
        <w:br/>
        <w:t>« Le nombre de voix attribuées à chacun des membres du conseil d'administration est précisé par décret. Le premier collège détient la moitié des voix délibératives au sein du conseil d'administration.</w:t>
      </w:r>
      <w:r w:rsidRPr="00874A27">
        <w:rPr>
          <w:rFonts w:ascii="Arial" w:eastAsia="Times New Roman" w:hAnsi="Arial" w:cs="Arial"/>
          <w:color w:val="000000"/>
          <w:sz w:val="19"/>
          <w:szCs w:val="19"/>
          <w:lang w:eastAsia="fr-FR"/>
        </w:rPr>
        <w:br/>
        <w:t>« Le président du conseil d'administration est nommé par décret, pris sur le rapport du ministre chargé du logement, parmi les membres du quatrième collège.</w:t>
      </w:r>
      <w:r w:rsidRPr="00874A27">
        <w:rPr>
          <w:rFonts w:ascii="Arial" w:eastAsia="Times New Roman" w:hAnsi="Arial" w:cs="Arial"/>
          <w:color w:val="000000"/>
          <w:sz w:val="19"/>
          <w:szCs w:val="19"/>
          <w:lang w:eastAsia="fr-FR"/>
        </w:rPr>
        <w:br/>
        <w:t>« Le vice-président est désigné par le deuxième collège en son sein.</w:t>
      </w:r>
      <w:r w:rsidRPr="00874A27">
        <w:rPr>
          <w:rFonts w:ascii="Arial" w:eastAsia="Times New Roman" w:hAnsi="Arial" w:cs="Arial"/>
          <w:color w:val="000000"/>
          <w:sz w:val="19"/>
          <w:szCs w:val="19"/>
          <w:lang w:eastAsia="fr-FR"/>
        </w:rPr>
        <w:br/>
        <w:t>« L'agence est dirigée par un directeur général.</w:t>
      </w:r>
      <w:r w:rsidRPr="00874A27">
        <w:rPr>
          <w:rFonts w:ascii="Arial" w:eastAsia="Times New Roman" w:hAnsi="Arial" w:cs="Arial"/>
          <w:color w:val="000000"/>
          <w:sz w:val="19"/>
          <w:szCs w:val="19"/>
          <w:lang w:eastAsia="fr-FR"/>
        </w:rPr>
        <w:br/>
        <w:t>« Un comité d'orientation est chargé de faire toute proposition utile afin d'améliorer la gestion de la garantie universelle des loyers.</w:t>
      </w:r>
      <w:r w:rsidRPr="00874A27">
        <w:rPr>
          <w:rFonts w:ascii="Arial" w:eastAsia="Times New Roman" w:hAnsi="Arial" w:cs="Arial"/>
          <w:color w:val="000000"/>
          <w:sz w:val="19"/>
          <w:szCs w:val="19"/>
          <w:lang w:eastAsia="fr-FR"/>
        </w:rPr>
        <w:br/>
        <w:t>« C. ― Pour l'accomplissement de sa mission, l'Agence de la garantie universelle des loyers peut disposer des ressources suivantes :</w:t>
      </w:r>
      <w:r w:rsidRPr="00874A27">
        <w:rPr>
          <w:rFonts w:ascii="Arial" w:eastAsia="Times New Roman" w:hAnsi="Arial" w:cs="Arial"/>
          <w:color w:val="000000"/>
          <w:sz w:val="19"/>
          <w:szCs w:val="19"/>
          <w:lang w:eastAsia="fr-FR"/>
        </w:rPr>
        <w:br/>
        <w:t>« 1° Les contributions et subventions de l'Etat et de ses établissements publics, de l'Union européenne, ainsi que de toute autre personne morale publique ou privée ;</w:t>
      </w:r>
      <w:r w:rsidRPr="00874A27">
        <w:rPr>
          <w:rFonts w:ascii="Arial" w:eastAsia="Times New Roman" w:hAnsi="Arial" w:cs="Arial"/>
          <w:color w:val="000000"/>
          <w:sz w:val="19"/>
          <w:szCs w:val="19"/>
          <w:lang w:eastAsia="fr-FR"/>
        </w:rPr>
        <w:br/>
        <w:t>« 2° Les recettes fiscales affectées par la loi ;</w:t>
      </w:r>
      <w:r w:rsidRPr="00874A27">
        <w:rPr>
          <w:rFonts w:ascii="Arial" w:eastAsia="Times New Roman" w:hAnsi="Arial" w:cs="Arial"/>
          <w:color w:val="000000"/>
          <w:sz w:val="19"/>
          <w:szCs w:val="19"/>
          <w:lang w:eastAsia="fr-FR"/>
        </w:rPr>
        <w:br/>
        <w:t>« 3° Les contributions de la participation des employeurs à l'effort de construction ;</w:t>
      </w:r>
      <w:r w:rsidRPr="00874A27">
        <w:rPr>
          <w:rFonts w:ascii="Arial" w:eastAsia="Times New Roman" w:hAnsi="Arial" w:cs="Arial"/>
          <w:color w:val="000000"/>
          <w:sz w:val="19"/>
          <w:szCs w:val="19"/>
          <w:lang w:eastAsia="fr-FR"/>
        </w:rPr>
        <w:br/>
        <w:t>« 4° Le produit issu du remboursement des aides versées au titre de la garantie ;</w:t>
      </w:r>
      <w:r w:rsidRPr="00874A27">
        <w:rPr>
          <w:rFonts w:ascii="Arial" w:eastAsia="Times New Roman" w:hAnsi="Arial" w:cs="Arial"/>
          <w:color w:val="000000"/>
          <w:sz w:val="19"/>
          <w:szCs w:val="19"/>
          <w:lang w:eastAsia="fr-FR"/>
        </w:rPr>
        <w:br/>
        <w:t>« 5° Les sommes correspondant aux aides accordées par d'autres personnes morales qui lui sont versées en application des conventions mentionnées au A ;</w:t>
      </w:r>
      <w:r w:rsidRPr="00874A27">
        <w:rPr>
          <w:rFonts w:ascii="Arial" w:eastAsia="Times New Roman" w:hAnsi="Arial" w:cs="Arial"/>
          <w:color w:val="000000"/>
          <w:sz w:val="19"/>
          <w:szCs w:val="19"/>
          <w:lang w:eastAsia="fr-FR"/>
        </w:rPr>
        <w:br/>
        <w:t>« 6° Les emprunts et le produit des placements financiers qu'elle est autorisée à faire ;</w:t>
      </w:r>
      <w:r w:rsidRPr="00874A27">
        <w:rPr>
          <w:rFonts w:ascii="Arial" w:eastAsia="Times New Roman" w:hAnsi="Arial" w:cs="Arial"/>
          <w:color w:val="000000"/>
          <w:sz w:val="19"/>
          <w:szCs w:val="19"/>
          <w:lang w:eastAsia="fr-FR"/>
        </w:rPr>
        <w:br/>
        <w:t>« 7° Le produit des dons et legs ;</w:t>
      </w:r>
      <w:r w:rsidRPr="00874A27">
        <w:rPr>
          <w:rFonts w:ascii="Arial" w:eastAsia="Times New Roman" w:hAnsi="Arial" w:cs="Arial"/>
          <w:color w:val="000000"/>
          <w:sz w:val="19"/>
          <w:szCs w:val="19"/>
          <w:lang w:eastAsia="fr-FR"/>
        </w:rPr>
        <w:br/>
        <w:t>« 8° Les recettes accessoires, notamment la rémunération des services rendus aux tiers, dans des conditions fixées par le conseil d'administration ;</w:t>
      </w:r>
      <w:r w:rsidRPr="00874A27">
        <w:rPr>
          <w:rFonts w:ascii="Arial" w:eastAsia="Times New Roman" w:hAnsi="Arial" w:cs="Arial"/>
          <w:color w:val="000000"/>
          <w:sz w:val="19"/>
          <w:szCs w:val="19"/>
          <w:lang w:eastAsia="fr-FR"/>
        </w:rPr>
        <w:br/>
        <w:t>« 9° Toutes les ressources dont elle peut disposer en vertu des lois et règlements.</w:t>
      </w:r>
      <w:r w:rsidRPr="00874A27">
        <w:rPr>
          <w:rFonts w:ascii="Arial" w:eastAsia="Times New Roman" w:hAnsi="Arial" w:cs="Arial"/>
          <w:color w:val="000000"/>
          <w:sz w:val="19"/>
          <w:szCs w:val="19"/>
          <w:lang w:eastAsia="fr-FR"/>
        </w:rPr>
        <w:br/>
        <w:t>« D. ― Pour bénéficier des aides mentionnées au I, les bailleurs déclarent auprès de l'Agence de la garantie universelle des loyers la conclusion des contrats de location entrant dans le champ d'application du A du I, dans un délai fixé par décret. Cette déclaration peut s'effectuer de façon dématérialisée. Les locataires sont informés de cette déclaration, selon des modalités fixées par décret.</w:t>
      </w:r>
      <w:r w:rsidRPr="00874A27">
        <w:rPr>
          <w:rFonts w:ascii="Arial" w:eastAsia="Times New Roman" w:hAnsi="Arial" w:cs="Arial"/>
          <w:color w:val="000000"/>
          <w:sz w:val="19"/>
          <w:szCs w:val="19"/>
          <w:lang w:eastAsia="fr-FR"/>
        </w:rPr>
        <w:br/>
        <w:t>« E. ― L'agence peut prononcer des sanctions à l'encontre des bailleurs ayant sollicité ou obtenu un versement par fraude d'aides au titre de la garantie et à l'encontre des locataires en cas de fausse déclaration.</w:t>
      </w:r>
      <w:r w:rsidRPr="00874A27">
        <w:rPr>
          <w:rFonts w:ascii="Arial" w:eastAsia="Times New Roman" w:hAnsi="Arial" w:cs="Arial"/>
          <w:color w:val="000000"/>
          <w:sz w:val="19"/>
          <w:szCs w:val="19"/>
          <w:lang w:eastAsia="fr-FR"/>
        </w:rPr>
        <w:br/>
        <w:t>« L'agence peut prononcer les sanctions suivantes, après avoir mis en œuvre la procédure prévue à l'</w:t>
      </w:r>
      <w:hyperlink r:id="rId117" w:history="1">
        <w:r w:rsidRPr="00874A27">
          <w:rPr>
            <w:rFonts w:ascii="Arial" w:eastAsia="Times New Roman" w:hAnsi="Arial" w:cs="Arial"/>
            <w:color w:val="336699"/>
            <w:sz w:val="19"/>
            <w:szCs w:val="19"/>
            <w:u w:val="single"/>
            <w:lang w:eastAsia="fr-FR"/>
          </w:rPr>
          <w:t>article 24 de la loi n° 2000-321 du 12 avril 2000 </w:t>
        </w:r>
      </w:hyperlink>
      <w:r w:rsidRPr="00874A27">
        <w:rPr>
          <w:rFonts w:ascii="Arial" w:eastAsia="Times New Roman" w:hAnsi="Arial" w:cs="Arial"/>
          <w:color w:val="000000"/>
          <w:sz w:val="19"/>
          <w:szCs w:val="19"/>
          <w:lang w:eastAsia="fr-FR"/>
        </w:rPr>
        <w:t>relative aux droits des citoyens dans leurs relations avec les administrations :</w:t>
      </w:r>
      <w:r w:rsidRPr="00874A27">
        <w:rPr>
          <w:rFonts w:ascii="Arial" w:eastAsia="Times New Roman" w:hAnsi="Arial" w:cs="Arial"/>
          <w:color w:val="000000"/>
          <w:sz w:val="19"/>
          <w:szCs w:val="19"/>
          <w:lang w:eastAsia="fr-FR"/>
        </w:rPr>
        <w:br/>
        <w:t>« 1° Une sanction pécuniaire, qui ne peut excéder, pour les bailleurs, un montant équivalant à deux ans de loyer et, pour les locataires, deux fois le plafond mensuel de la sécurité sociale. Ces sanctions sont recouvrées par l'Etat au profit de l'agence comme en matière de créances étrangères à l'impôt ;</w:t>
      </w:r>
      <w:r w:rsidRPr="00874A27">
        <w:rPr>
          <w:rFonts w:ascii="Arial" w:eastAsia="Times New Roman" w:hAnsi="Arial" w:cs="Arial"/>
          <w:color w:val="000000"/>
          <w:sz w:val="19"/>
          <w:szCs w:val="19"/>
          <w:lang w:eastAsia="fr-FR"/>
        </w:rPr>
        <w:br/>
        <w:t>« 2° L'interdiction de bénéficier de la garantie universelle des loyers pendant une durée maximale de dix ans pour les bailleurs, de deux ans pour les locataires.</w:t>
      </w:r>
      <w:r w:rsidRPr="00874A27">
        <w:rPr>
          <w:rFonts w:ascii="Arial" w:eastAsia="Times New Roman" w:hAnsi="Arial" w:cs="Arial"/>
          <w:color w:val="000000"/>
          <w:sz w:val="19"/>
          <w:szCs w:val="19"/>
          <w:lang w:eastAsia="fr-FR"/>
        </w:rPr>
        <w:br/>
        <w:t>« Un comité des sanctions prononce les sanctions mentionnées aux 1° et 2°. Ce comité est composé :</w:t>
      </w:r>
      <w:r w:rsidRPr="00874A27">
        <w:rPr>
          <w:rFonts w:ascii="Arial" w:eastAsia="Times New Roman" w:hAnsi="Arial" w:cs="Arial"/>
          <w:color w:val="000000"/>
          <w:sz w:val="19"/>
          <w:szCs w:val="19"/>
          <w:lang w:eastAsia="fr-FR"/>
        </w:rPr>
        <w:br/>
        <w:t>« a) D'un magistrat de l'ordre administratif, désigné par le vice-président du Conseil d'Etat, président du comité ;</w:t>
      </w:r>
      <w:r w:rsidRPr="00874A27">
        <w:rPr>
          <w:rFonts w:ascii="Arial" w:eastAsia="Times New Roman" w:hAnsi="Arial" w:cs="Arial"/>
          <w:color w:val="000000"/>
          <w:sz w:val="19"/>
          <w:szCs w:val="19"/>
          <w:lang w:eastAsia="fr-FR"/>
        </w:rPr>
        <w:br/>
        <w:t>« b) D'un magistrat de l'ordre judiciaire, désigné par le premier président de la Cour de cassation ;</w:t>
      </w:r>
      <w:r w:rsidRPr="00874A27">
        <w:rPr>
          <w:rFonts w:ascii="Arial" w:eastAsia="Times New Roman" w:hAnsi="Arial" w:cs="Arial"/>
          <w:color w:val="000000"/>
          <w:sz w:val="19"/>
          <w:szCs w:val="19"/>
          <w:lang w:eastAsia="fr-FR"/>
        </w:rPr>
        <w:br/>
        <w:t>« c) De trois membres désignés en raison de leur compétence en matière de logement par le ministre chargé du logement ;</w:t>
      </w:r>
      <w:r w:rsidRPr="00874A27">
        <w:rPr>
          <w:rFonts w:ascii="Arial" w:eastAsia="Times New Roman" w:hAnsi="Arial" w:cs="Arial"/>
          <w:color w:val="000000"/>
          <w:sz w:val="19"/>
          <w:szCs w:val="19"/>
          <w:lang w:eastAsia="fr-FR"/>
        </w:rPr>
        <w:br/>
        <w:t>« d) D'un représentant des associations de défense des consommateurs représentatives au niveau national œuvrant dans le domaine du logement, désigné par le ministre chargé du logement ;</w:t>
      </w:r>
      <w:r w:rsidRPr="00874A27">
        <w:rPr>
          <w:rFonts w:ascii="Arial" w:eastAsia="Times New Roman" w:hAnsi="Arial" w:cs="Arial"/>
          <w:color w:val="000000"/>
          <w:sz w:val="19"/>
          <w:szCs w:val="19"/>
          <w:lang w:eastAsia="fr-FR"/>
        </w:rPr>
        <w:br/>
        <w:t>« e) D'un représentant des organisations représentatives au plan national des bailleurs ou des gestionnaires, désigné par le ministre chargé du logement.</w:t>
      </w:r>
      <w:r w:rsidRPr="00874A27">
        <w:rPr>
          <w:rFonts w:ascii="Arial" w:eastAsia="Times New Roman" w:hAnsi="Arial" w:cs="Arial"/>
          <w:color w:val="000000"/>
          <w:sz w:val="19"/>
          <w:szCs w:val="19"/>
          <w:lang w:eastAsia="fr-FR"/>
        </w:rPr>
        <w:br/>
        <w:t>« Les membres du comité sont désignés pour un mandat de cinq ans, non renouvelable. Ils peuvent se faire suppléer par un membre relevant de la même catégorie et nommé dans les mêmes conditions.</w:t>
      </w:r>
      <w:r w:rsidRPr="00874A27">
        <w:rPr>
          <w:rFonts w:ascii="Arial" w:eastAsia="Times New Roman" w:hAnsi="Arial" w:cs="Arial"/>
          <w:color w:val="000000"/>
          <w:sz w:val="19"/>
          <w:szCs w:val="19"/>
          <w:lang w:eastAsia="fr-FR"/>
        </w:rPr>
        <w:br/>
        <w:t>« Le directeur général de l'agence est chargé de l'instruction. Il procède, à cet effet, aux investigations nécessaires. Il notifie les griefs au comité. Il peut présenter des observations devant le comité. Il n'assiste pas au délibéré.</w:t>
      </w:r>
      <w:r w:rsidRPr="00874A27">
        <w:rPr>
          <w:rFonts w:ascii="Arial" w:eastAsia="Times New Roman" w:hAnsi="Arial" w:cs="Arial"/>
          <w:color w:val="000000"/>
          <w:sz w:val="19"/>
          <w:szCs w:val="19"/>
          <w:lang w:eastAsia="fr-FR"/>
        </w:rPr>
        <w:br/>
        <w:t>« F. ― L'agence peut communiquer aux organismes payeurs de prestations familiales, aux départements et à la commission mentionnée à l'article 7-2 de la loi n° 90-449 du 31 mai 1990 visant à la mise en œuvre du droit au logement les données relatives aux impayés de loyer et aux locataires en situation d'impayés, dans des conditions prévues par décret en Conseil d'Etat. Elle peut également communiquer aux observatoires locaux des loyers mentionnés à l'article 16 de la présente loi les données utiles pour l'exercice de leur mission, dans des conditions prévues par décret en Conseil d'Etat.</w:t>
      </w:r>
      <w:r w:rsidRPr="00874A27">
        <w:rPr>
          <w:rFonts w:ascii="Arial" w:eastAsia="Times New Roman" w:hAnsi="Arial" w:cs="Arial"/>
          <w:color w:val="000000"/>
          <w:sz w:val="19"/>
          <w:szCs w:val="19"/>
          <w:lang w:eastAsia="fr-FR"/>
        </w:rPr>
        <w:br/>
        <w:t xml:space="preserve">« Les organismes chargés du paiement de l'allocation de logement communiquent à l'agence, à sa demande, l'information selon laquelle un locataire est bénéficiaire de l'aide personnelle au logement et </w:t>
      </w:r>
      <w:r w:rsidRPr="00874A27">
        <w:rPr>
          <w:rFonts w:ascii="Arial" w:eastAsia="Times New Roman" w:hAnsi="Arial" w:cs="Arial"/>
          <w:color w:val="000000"/>
          <w:sz w:val="19"/>
          <w:szCs w:val="19"/>
          <w:lang w:eastAsia="fr-FR"/>
        </w:rPr>
        <w:lastRenderedPageBreak/>
        <w:t>un récapitulatif des versements des aides personnelles au logement entre les mains des locataires et des bailleurs.</w:t>
      </w:r>
      <w:r w:rsidRPr="00874A27">
        <w:rPr>
          <w:rFonts w:ascii="Arial" w:eastAsia="Times New Roman" w:hAnsi="Arial" w:cs="Arial"/>
          <w:color w:val="000000"/>
          <w:sz w:val="19"/>
          <w:szCs w:val="19"/>
          <w:lang w:eastAsia="fr-FR"/>
        </w:rPr>
        <w:br/>
        <w:t>« G. ― Un décret en Conseil d'Etat définit les modalités d'organisation, de gestion et de fonctionnement de l'agence.</w:t>
      </w:r>
      <w:r w:rsidRPr="00874A27">
        <w:rPr>
          <w:rFonts w:ascii="Arial" w:eastAsia="Times New Roman" w:hAnsi="Arial" w:cs="Arial"/>
          <w:color w:val="000000"/>
          <w:sz w:val="19"/>
          <w:szCs w:val="19"/>
          <w:lang w:eastAsia="fr-FR"/>
        </w:rPr>
        <w:br/>
        <w:t>« III. ― Des organismes, dénommés " centres de gestion agréés ”, sont agréés par l'Agence de la garantie universelle des loyers pour la mise en œuvre de la garantie universelle des loyers. A ce titre, ils ont pour missions :</w:t>
      </w:r>
      <w:r w:rsidRPr="00874A27">
        <w:rPr>
          <w:rFonts w:ascii="Arial" w:eastAsia="Times New Roman" w:hAnsi="Arial" w:cs="Arial"/>
          <w:color w:val="000000"/>
          <w:sz w:val="19"/>
          <w:szCs w:val="19"/>
          <w:lang w:eastAsia="fr-FR"/>
        </w:rPr>
        <w:br/>
        <w:t>« 1° D'assister les bailleurs dans la déclaration mentionnée au D du II, pour la vérification du respect des conditions exigées pour bénéficier de la garantie universelle des loyers et dans toutes démarches pour le bénéfice de la garantie ;</w:t>
      </w:r>
      <w:r w:rsidRPr="00874A27">
        <w:rPr>
          <w:rFonts w:ascii="Arial" w:eastAsia="Times New Roman" w:hAnsi="Arial" w:cs="Arial"/>
          <w:color w:val="000000"/>
          <w:sz w:val="19"/>
          <w:szCs w:val="19"/>
          <w:lang w:eastAsia="fr-FR"/>
        </w:rPr>
        <w:br/>
        <w:t>« 2° D'instruire les dossiers d'impayés de loyer et les demandes d'aides ;</w:t>
      </w:r>
      <w:r w:rsidRPr="00874A27">
        <w:rPr>
          <w:rFonts w:ascii="Arial" w:eastAsia="Times New Roman" w:hAnsi="Arial" w:cs="Arial"/>
          <w:color w:val="000000"/>
          <w:sz w:val="19"/>
          <w:szCs w:val="19"/>
          <w:lang w:eastAsia="fr-FR"/>
        </w:rPr>
        <w:br/>
        <w:t>« 3° De délivrer aux candidats locataires qui en font la demande le justificatif mentionné au C du I ;</w:t>
      </w:r>
      <w:r w:rsidRPr="00874A27">
        <w:rPr>
          <w:rFonts w:ascii="Arial" w:eastAsia="Times New Roman" w:hAnsi="Arial" w:cs="Arial"/>
          <w:color w:val="000000"/>
          <w:sz w:val="19"/>
          <w:szCs w:val="19"/>
          <w:lang w:eastAsia="fr-FR"/>
        </w:rPr>
        <w:br/>
        <w:t>« 4° D'informer les locataires des déclarations d'impayés de loyer ainsi que des conséquences de cette déclaration, et notamment des voies de recours dont les locataires disposent dans ce cadre ;</w:t>
      </w:r>
      <w:r w:rsidRPr="00874A27">
        <w:rPr>
          <w:rFonts w:ascii="Arial" w:eastAsia="Times New Roman" w:hAnsi="Arial" w:cs="Arial"/>
          <w:color w:val="000000"/>
          <w:sz w:val="19"/>
          <w:szCs w:val="19"/>
          <w:lang w:eastAsia="fr-FR"/>
        </w:rPr>
        <w:br/>
        <w:t>« 5° De proposer un plan d'apurement au locataire ;</w:t>
      </w:r>
      <w:r w:rsidRPr="00874A27">
        <w:rPr>
          <w:rFonts w:ascii="Arial" w:eastAsia="Times New Roman" w:hAnsi="Arial" w:cs="Arial"/>
          <w:color w:val="000000"/>
          <w:sz w:val="19"/>
          <w:szCs w:val="19"/>
          <w:lang w:eastAsia="fr-FR"/>
        </w:rPr>
        <w:br/>
        <w:t>« 6° D'identifier et orienter les locataires en situation d'impayés de loyer nécessitant un accompagnement social, et d'accompagner, s'il y a lieu, les locataires dans la recherche d'un autre logement.</w:t>
      </w:r>
      <w:r w:rsidRPr="00874A27">
        <w:rPr>
          <w:rFonts w:ascii="Arial" w:eastAsia="Times New Roman" w:hAnsi="Arial" w:cs="Arial"/>
          <w:color w:val="000000"/>
          <w:sz w:val="19"/>
          <w:szCs w:val="19"/>
          <w:lang w:eastAsia="fr-FR"/>
        </w:rPr>
        <w:br/>
        <w:t>« Ces organismes peuvent également procéder au versement des aides aux bailleurs et proposer des prestations complémentaires, dont la liste est fixée par décret, dans le cadre de la mise en œuvre de la garantie universelle des loyers.</w:t>
      </w:r>
      <w:r w:rsidRPr="00874A27">
        <w:rPr>
          <w:rFonts w:ascii="Arial" w:eastAsia="Times New Roman" w:hAnsi="Arial" w:cs="Arial"/>
          <w:color w:val="000000"/>
          <w:sz w:val="19"/>
          <w:szCs w:val="19"/>
          <w:lang w:eastAsia="fr-FR"/>
        </w:rPr>
        <w:br/>
        <w:t>« Toutefois, l'instruction des demandes d'aide d'un propriétaire doit être autonome de la sélection des locataires et de l'encaissement des loyers à l'échéance éventuellement effectués pour le compte de ce propriétaire.</w:t>
      </w:r>
      <w:r w:rsidRPr="00874A27">
        <w:rPr>
          <w:rFonts w:ascii="Arial" w:eastAsia="Times New Roman" w:hAnsi="Arial" w:cs="Arial"/>
          <w:color w:val="000000"/>
          <w:sz w:val="19"/>
          <w:szCs w:val="19"/>
          <w:lang w:eastAsia="fr-FR"/>
        </w:rPr>
        <w:br/>
        <w:t>« Ces organismes sont soumis au respect d'un cahier des charges fixé par décret.</w:t>
      </w:r>
      <w:r w:rsidRPr="00874A27">
        <w:rPr>
          <w:rFonts w:ascii="Arial" w:eastAsia="Times New Roman" w:hAnsi="Arial" w:cs="Arial"/>
          <w:color w:val="000000"/>
          <w:sz w:val="19"/>
          <w:szCs w:val="19"/>
          <w:lang w:eastAsia="fr-FR"/>
        </w:rPr>
        <w:br/>
        <w:t>« Pour le financement de leurs missions, ces organismes perçoivent un financement de l'agence mentionnée au II. Ils peuvent également percevoir des sommes acquittées par les bailleurs, dans des conditions fixées par décret.</w:t>
      </w:r>
      <w:r w:rsidRPr="00874A27">
        <w:rPr>
          <w:rFonts w:ascii="Arial" w:eastAsia="Times New Roman" w:hAnsi="Arial" w:cs="Arial"/>
          <w:color w:val="000000"/>
          <w:sz w:val="19"/>
          <w:szCs w:val="19"/>
          <w:lang w:eastAsia="fr-FR"/>
        </w:rPr>
        <w:br/>
        <w:t>« IV. ― Pour pouvoir bénéficier des conditions spécifiques d'application de la garantie universelle des loyers prévues aux c du 1° du C du I et au septième alinéa du 4° et au second alinéa du 5° du D de ce même I, ainsi que de l'aide complémentaire prévue au deuxième alinéa du A du II pour les logements qu'ils louent ou gèrent, les organismes qui exercent les activités d'intermédiation locative et de gestion locative sociale, ainsi que les organismes qui exercent des activités de maîtrise d'ouvrage d'insertion agréés dans les conditions prévues, respectivement, aux articles </w:t>
      </w:r>
      <w:hyperlink r:id="rId118" w:history="1">
        <w:r w:rsidRPr="00874A27">
          <w:rPr>
            <w:rFonts w:ascii="Arial" w:eastAsia="Times New Roman" w:hAnsi="Arial" w:cs="Arial"/>
            <w:color w:val="336699"/>
            <w:sz w:val="19"/>
            <w:szCs w:val="19"/>
            <w:u w:val="single"/>
            <w:lang w:eastAsia="fr-FR"/>
          </w:rPr>
          <w:t>L. 365-2 </w:t>
        </w:r>
      </w:hyperlink>
      <w:r w:rsidRPr="00874A27">
        <w:rPr>
          <w:rFonts w:ascii="Arial" w:eastAsia="Times New Roman" w:hAnsi="Arial" w:cs="Arial"/>
          <w:color w:val="000000"/>
          <w:sz w:val="19"/>
          <w:szCs w:val="19"/>
          <w:lang w:eastAsia="fr-FR"/>
        </w:rPr>
        <w:t>et </w:t>
      </w:r>
      <w:hyperlink r:id="rId119" w:history="1">
        <w:r w:rsidRPr="00874A27">
          <w:rPr>
            <w:rFonts w:ascii="Arial" w:eastAsia="Times New Roman" w:hAnsi="Arial" w:cs="Arial"/>
            <w:color w:val="336699"/>
            <w:sz w:val="19"/>
            <w:szCs w:val="19"/>
            <w:u w:val="single"/>
            <w:lang w:eastAsia="fr-FR"/>
          </w:rPr>
          <w:t>L. 365-4 </w:t>
        </w:r>
      </w:hyperlink>
      <w:r w:rsidRPr="00874A27">
        <w:rPr>
          <w:rFonts w:ascii="Arial" w:eastAsia="Times New Roman" w:hAnsi="Arial" w:cs="Arial"/>
          <w:color w:val="000000"/>
          <w:sz w:val="19"/>
          <w:szCs w:val="19"/>
          <w:lang w:eastAsia="fr-FR"/>
        </w:rPr>
        <w:t>du code de la construction et de l'habitation, doivent obtenir un agrément de l'agence mentionnée au II du présent article dans des conditions définies par décret.</w:t>
      </w:r>
      <w:r w:rsidRPr="00874A27">
        <w:rPr>
          <w:rFonts w:ascii="Arial" w:eastAsia="Times New Roman" w:hAnsi="Arial" w:cs="Arial"/>
          <w:color w:val="000000"/>
          <w:sz w:val="19"/>
          <w:szCs w:val="19"/>
          <w:lang w:eastAsia="fr-FR"/>
        </w:rPr>
        <w:br/>
        <w:t>« V. ― Le présent article s'applique aux contrats de location conclus à compter du 1er janvier 2016.</w:t>
      </w:r>
      <w:r w:rsidRPr="00874A27">
        <w:rPr>
          <w:rFonts w:ascii="Arial" w:eastAsia="Times New Roman" w:hAnsi="Arial" w:cs="Arial"/>
          <w:color w:val="000000"/>
          <w:sz w:val="19"/>
          <w:szCs w:val="19"/>
          <w:lang w:eastAsia="fr-FR"/>
        </w:rPr>
        <w:br/>
        <w:t>« A compter de cette même date, les parties peuvent rendre applicable le présent article, par voie d'avenant, aux contrats de location en cours, sous réserve que le bailleur et le locataire remplissent les conditions qu'il fixe.</w:t>
      </w:r>
      <w:r w:rsidRPr="00874A27">
        <w:rPr>
          <w:rFonts w:ascii="Arial" w:eastAsia="Times New Roman" w:hAnsi="Arial" w:cs="Arial"/>
          <w:color w:val="000000"/>
          <w:sz w:val="19"/>
          <w:szCs w:val="19"/>
          <w:lang w:eastAsia="fr-FR"/>
        </w:rPr>
        <w:br/>
        <w:t>« Le bénéfice de la garantie pour les logements déjà occupés par le locataire est soumis à un délai de carence qui ne peut être inférieur à six mois, sauf dans le cas d'un renouvellement d'un contrat de location qui a été déclaré dans les conditions mentionnées au D du II du présent article ou d'un avenant à un tel contrat. Ce délai de carence ne s'applique pas dans le cas d'un renouvellement d'un contrat de location qui a fait l'objet d'un contrat d'assurance contre les impayés de loyer respectant le cahier des charges prévu au </w:t>
      </w:r>
      <w:hyperlink r:id="rId120" w:history="1">
        <w:r w:rsidRPr="00874A27">
          <w:rPr>
            <w:rFonts w:ascii="Arial" w:eastAsia="Times New Roman" w:hAnsi="Arial" w:cs="Arial"/>
            <w:color w:val="336699"/>
            <w:sz w:val="19"/>
            <w:szCs w:val="19"/>
            <w:u w:val="single"/>
            <w:lang w:eastAsia="fr-FR"/>
          </w:rPr>
          <w:t>g de l'article L. 313-3 du code de la construction et de l'habitation </w:t>
        </w:r>
      </w:hyperlink>
      <w:r w:rsidRPr="00874A27">
        <w:rPr>
          <w:rFonts w:ascii="Arial" w:eastAsia="Times New Roman" w:hAnsi="Arial" w:cs="Arial"/>
          <w:color w:val="000000"/>
          <w:sz w:val="19"/>
          <w:szCs w:val="19"/>
          <w:lang w:eastAsia="fr-FR"/>
        </w:rPr>
        <w:t>ou d'un avenant à un tel contrat.</w:t>
      </w:r>
      <w:r w:rsidRPr="00874A27">
        <w:rPr>
          <w:rFonts w:ascii="Arial" w:eastAsia="Times New Roman" w:hAnsi="Arial" w:cs="Arial"/>
          <w:color w:val="000000"/>
          <w:sz w:val="19"/>
          <w:szCs w:val="19"/>
          <w:lang w:eastAsia="fr-FR"/>
        </w:rPr>
        <w:br/>
        <w:t>« L'agence mentionnée au II est créée à une date fixée par décret, et au plus tard le 1er janvier 2015. »</w:t>
      </w:r>
      <w:r w:rsidRPr="00874A27">
        <w:rPr>
          <w:rFonts w:ascii="Arial" w:eastAsia="Times New Roman" w:hAnsi="Arial" w:cs="Arial"/>
          <w:color w:val="000000"/>
          <w:sz w:val="19"/>
          <w:szCs w:val="19"/>
          <w:lang w:eastAsia="fr-FR"/>
        </w:rPr>
        <w:br/>
        <w:t>II.-Le début du g de l'article L. 313-3 du code de la construction et de l'habitation est ainsi rédigé :</w:t>
      </w:r>
      <w:r w:rsidRPr="00874A27">
        <w:rPr>
          <w:rFonts w:ascii="Arial" w:eastAsia="Times New Roman" w:hAnsi="Arial" w:cs="Arial"/>
          <w:color w:val="000000"/>
          <w:sz w:val="19"/>
          <w:szCs w:val="19"/>
          <w:lang w:eastAsia="fr-FR"/>
        </w:rPr>
        <w:br/>
        <w:t>« g) Au financement du dispositif prévu à l'article 24-2 de la loi n° 89-462 du 6 juillet 1989 tendant à améliorer les rapports locatifs et portant modification de la </w:t>
      </w:r>
      <w:hyperlink r:id="rId121" w:history="1">
        <w:r w:rsidRPr="00874A27">
          <w:rPr>
            <w:rFonts w:ascii="Arial" w:eastAsia="Times New Roman" w:hAnsi="Arial" w:cs="Arial"/>
            <w:color w:val="336699"/>
            <w:sz w:val="19"/>
            <w:szCs w:val="19"/>
            <w:u w:val="single"/>
            <w:lang w:eastAsia="fr-FR"/>
          </w:rPr>
          <w:t>loi n° 86-1290 du 23 décembre 1986 </w:t>
        </w:r>
      </w:hyperlink>
      <w:r w:rsidRPr="00874A27">
        <w:rPr>
          <w:rFonts w:ascii="Arial" w:eastAsia="Times New Roman" w:hAnsi="Arial" w:cs="Arial"/>
          <w:color w:val="000000"/>
          <w:sz w:val="19"/>
          <w:szCs w:val="19"/>
          <w:lang w:eastAsia="fr-FR"/>
        </w:rPr>
        <w:t>et au versement de compensations... (le reste sans changement). »</w:t>
      </w:r>
      <w:r w:rsidRPr="00874A27">
        <w:rPr>
          <w:rFonts w:ascii="Arial" w:eastAsia="Times New Roman" w:hAnsi="Arial" w:cs="Arial"/>
          <w:color w:val="000000"/>
          <w:sz w:val="19"/>
          <w:szCs w:val="19"/>
          <w:lang w:eastAsia="fr-FR"/>
        </w:rPr>
        <w:br/>
        <w:t>III.-Après le cinquième alinéa de l'article 22-1 de la loi n° 89-462 du 6 juillet 1989 précitée, il est inséré un alinéa ainsi rédigé :</w:t>
      </w:r>
      <w:r w:rsidRPr="00874A27">
        <w:rPr>
          <w:rFonts w:ascii="Arial" w:eastAsia="Times New Roman" w:hAnsi="Arial" w:cs="Arial"/>
          <w:color w:val="000000"/>
          <w:sz w:val="19"/>
          <w:szCs w:val="19"/>
          <w:lang w:eastAsia="fr-FR"/>
        </w:rPr>
        <w:br/>
        <w:t>« Le cautionnement pour les sommes dont le locataire serait débiteur s'étend également aux sommes correspondant aux aides versées au bailleur en application de l'article 24-2. »</w:t>
      </w:r>
      <w:r w:rsidRPr="00874A27">
        <w:rPr>
          <w:rFonts w:ascii="Arial" w:eastAsia="Times New Roman" w:hAnsi="Arial" w:cs="Arial"/>
          <w:color w:val="000000"/>
          <w:sz w:val="19"/>
          <w:szCs w:val="19"/>
          <w:lang w:eastAsia="fr-FR"/>
        </w:rPr>
        <w:br/>
        <w:t>IV.-Dans un délai de trois ans à compter de la date mentionnée au premier alinéa du V de l'article 24-2 de la loi n° 89-462 du 6 juillet 1989 précitée, le Gouvernement remet au Parlement un rapport d'évaluation de la garantie universelle des loyers.</w:t>
      </w:r>
    </w:p>
    <w:p w:rsidR="00874A27" w:rsidRPr="00874A27" w:rsidRDefault="00874A27" w:rsidP="00874A27">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III : Renforcer la formation, la déontologie et le contrôle des professions de l'immobilier</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23" w:name="JORFARTI000028772598"/>
      <w:bookmarkEnd w:id="23"/>
      <w:r w:rsidRPr="00874A27">
        <w:rPr>
          <w:rFonts w:ascii="Arial" w:eastAsia="Times New Roman" w:hAnsi="Arial" w:cs="Arial"/>
          <w:b/>
          <w:bCs/>
          <w:color w:val="000000"/>
          <w:sz w:val="23"/>
          <w:szCs w:val="23"/>
          <w:lang w:eastAsia="fr-FR"/>
        </w:rPr>
        <w:lastRenderedPageBreak/>
        <w:t>Article 24 </w:t>
      </w:r>
      <w:hyperlink r:id="rId122" w:tooltip="En savoir plus sur l'article 2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titre Ier de la loi n° 70-9 du 2 janvier 1970 réglementant les conditions d'exercice des activités relatives à certaines opérations portant sur les immeubles et les fonds de commerce est ainsi modifié :</w:t>
      </w:r>
      <w:r w:rsidRPr="00874A27">
        <w:rPr>
          <w:rFonts w:ascii="Arial" w:eastAsia="Times New Roman" w:hAnsi="Arial" w:cs="Arial"/>
          <w:color w:val="000000"/>
          <w:sz w:val="19"/>
          <w:szCs w:val="19"/>
          <w:lang w:eastAsia="fr-FR"/>
        </w:rPr>
        <w:br/>
        <w:t>1° L'article 1er est ainsi modifié :</w:t>
      </w:r>
      <w:r w:rsidRPr="00874A27">
        <w:rPr>
          <w:rFonts w:ascii="Arial" w:eastAsia="Times New Roman" w:hAnsi="Arial" w:cs="Arial"/>
          <w:color w:val="000000"/>
          <w:sz w:val="19"/>
          <w:szCs w:val="19"/>
          <w:lang w:eastAsia="fr-FR"/>
        </w:rPr>
        <w:br/>
        <w:t>a) Au 1°, après le mot : « vente, », sont insérés les mots : « la recherche, » ;</w:t>
      </w:r>
      <w:r w:rsidRPr="00874A27">
        <w:rPr>
          <w:rFonts w:ascii="Arial" w:eastAsia="Times New Roman" w:hAnsi="Arial" w:cs="Arial"/>
          <w:color w:val="000000"/>
          <w:sz w:val="19"/>
          <w:szCs w:val="19"/>
          <w:lang w:eastAsia="fr-FR"/>
        </w:rPr>
        <w:br/>
        <w:t>b) Au 4°, après le mot : « immobilières », sont insérés les mots : « ou de sociétés d'habitat participatif » ;</w:t>
      </w:r>
      <w:r w:rsidRPr="00874A27">
        <w:rPr>
          <w:rFonts w:ascii="Arial" w:eastAsia="Times New Roman" w:hAnsi="Arial" w:cs="Arial"/>
          <w:color w:val="000000"/>
          <w:sz w:val="19"/>
          <w:szCs w:val="19"/>
          <w:lang w:eastAsia="fr-FR"/>
        </w:rPr>
        <w:br/>
        <w:t>c) Le 7° est complété par les mots : « , ou à la vente de fonds de commerce » ;</w:t>
      </w:r>
      <w:r w:rsidRPr="00874A27">
        <w:rPr>
          <w:rFonts w:ascii="Arial" w:eastAsia="Times New Roman" w:hAnsi="Arial" w:cs="Arial"/>
          <w:color w:val="000000"/>
          <w:sz w:val="19"/>
          <w:szCs w:val="19"/>
          <w:lang w:eastAsia="fr-FR"/>
        </w:rPr>
        <w:br/>
        <w:t>d) Il est ajouté un 9° ainsi rédigé :</w:t>
      </w:r>
      <w:r w:rsidRPr="00874A27">
        <w:rPr>
          <w:rFonts w:ascii="Arial" w:eastAsia="Times New Roman" w:hAnsi="Arial" w:cs="Arial"/>
          <w:color w:val="000000"/>
          <w:sz w:val="19"/>
          <w:szCs w:val="19"/>
          <w:lang w:eastAsia="fr-FR"/>
        </w:rPr>
        <w:br/>
        <w:t>« 9° L'exercice des fonctions de syndic de copropriété dans le cadre de la </w:t>
      </w:r>
      <w:hyperlink r:id="rId123" w:history="1">
        <w:r w:rsidRPr="00874A27">
          <w:rPr>
            <w:rFonts w:ascii="Arial" w:eastAsia="Times New Roman" w:hAnsi="Arial" w:cs="Arial"/>
            <w:color w:val="336699"/>
            <w:sz w:val="19"/>
            <w:szCs w:val="19"/>
            <w:u w:val="single"/>
            <w:lang w:eastAsia="fr-FR"/>
          </w:rPr>
          <w:t>loi n° 65-557 du 10 juillet 1965</w:t>
        </w:r>
      </w:hyperlink>
      <w:r w:rsidRPr="00874A27">
        <w:rPr>
          <w:rFonts w:ascii="Arial" w:eastAsia="Times New Roman" w:hAnsi="Arial" w:cs="Arial"/>
          <w:color w:val="000000"/>
          <w:sz w:val="19"/>
          <w:szCs w:val="19"/>
          <w:lang w:eastAsia="fr-FR"/>
        </w:rPr>
        <w:t> fixant le statut de la copropriété des immeubles bâtis. » ;</w:t>
      </w:r>
      <w:r w:rsidRPr="00874A27">
        <w:rPr>
          <w:rFonts w:ascii="Arial" w:eastAsia="Times New Roman" w:hAnsi="Arial" w:cs="Arial"/>
          <w:color w:val="000000"/>
          <w:sz w:val="19"/>
          <w:szCs w:val="19"/>
          <w:lang w:eastAsia="fr-FR"/>
        </w:rPr>
        <w:br/>
        <w:t>2° L'article 1er-1 est ainsi modifié :</w:t>
      </w:r>
      <w:r w:rsidRPr="00874A27">
        <w:rPr>
          <w:rFonts w:ascii="Arial" w:eastAsia="Times New Roman" w:hAnsi="Arial" w:cs="Arial"/>
          <w:color w:val="000000"/>
          <w:sz w:val="19"/>
          <w:szCs w:val="19"/>
          <w:lang w:eastAsia="fr-FR"/>
        </w:rPr>
        <w:br/>
        <w:t>a) Au début, sont ajoutés deux alinéas ainsi rédigés :</w:t>
      </w:r>
      <w:r w:rsidRPr="00874A27">
        <w:rPr>
          <w:rFonts w:ascii="Arial" w:eastAsia="Times New Roman" w:hAnsi="Arial" w:cs="Arial"/>
          <w:color w:val="000000"/>
          <w:sz w:val="19"/>
          <w:szCs w:val="19"/>
          <w:lang w:eastAsia="fr-FR"/>
        </w:rPr>
        <w:br/>
        <w:t>« Pour l'application de la présente loi :</w:t>
      </w:r>
      <w:r w:rsidRPr="00874A27">
        <w:rPr>
          <w:rFonts w:ascii="Arial" w:eastAsia="Times New Roman" w:hAnsi="Arial" w:cs="Arial"/>
          <w:color w:val="000000"/>
          <w:sz w:val="19"/>
          <w:szCs w:val="19"/>
          <w:lang w:eastAsia="fr-FR"/>
        </w:rPr>
        <w:br/>
        <w:t>« 1° Est considérée comme relevant de l'activité de gestion immobilière la location ou la sous-location, saisonnière ou non, en nu ou en meublé, d'immeubles bâtis ou non bâtis lorsqu'elle constitue l'accessoire d'un mandat de gestion ; »</w:t>
      </w:r>
      <w:r w:rsidRPr="00874A27">
        <w:rPr>
          <w:rFonts w:ascii="Arial" w:eastAsia="Times New Roman" w:hAnsi="Arial" w:cs="Arial"/>
          <w:color w:val="000000"/>
          <w:sz w:val="19"/>
          <w:szCs w:val="19"/>
          <w:lang w:eastAsia="fr-FR"/>
        </w:rPr>
        <w:br/>
        <w:t>b) Au début du premier alinéa, est ajoutée la mention : « 2° » ;</w:t>
      </w:r>
      <w:r w:rsidRPr="00874A27">
        <w:rPr>
          <w:rFonts w:ascii="Arial" w:eastAsia="Times New Roman" w:hAnsi="Arial" w:cs="Arial"/>
          <w:color w:val="000000"/>
          <w:sz w:val="19"/>
          <w:szCs w:val="19"/>
          <w:lang w:eastAsia="fr-FR"/>
        </w:rPr>
        <w:br/>
        <w:t>3° L'article 3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les mots : « par le préfet » sont remplacés par les mots : « , pour une durée et selon des modalités fixées par décret en Conseil d'Etat, par le président de la chambre de commerce et d'industrie territoriale ou par le président de la chambre de commerce et d'industrie départementale d'Ile-de-France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Lorsque le président de la chambre de commerce et d'industrie territoriale ou de la chambre départementale d'Ile-de-France exerce une activité mentionnée à l'article 1er, la carte est délivrée par le vice-président, dans des conditions fixées par décret en Conseil d'Etat. » ;</w:t>
      </w:r>
      <w:r w:rsidRPr="00874A27">
        <w:rPr>
          <w:rFonts w:ascii="Arial" w:eastAsia="Times New Roman" w:hAnsi="Arial" w:cs="Arial"/>
          <w:color w:val="000000"/>
          <w:sz w:val="19"/>
          <w:szCs w:val="19"/>
          <w:lang w:eastAsia="fr-FR"/>
        </w:rPr>
        <w:br/>
        <w:t>b) Après le premier alinéa, il est inséré un alinéa ainsi rédigé :</w:t>
      </w:r>
      <w:r w:rsidRPr="00874A27">
        <w:rPr>
          <w:rFonts w:ascii="Arial" w:eastAsia="Times New Roman" w:hAnsi="Arial" w:cs="Arial"/>
          <w:color w:val="000000"/>
          <w:sz w:val="19"/>
          <w:szCs w:val="19"/>
          <w:lang w:eastAsia="fr-FR"/>
        </w:rPr>
        <w:br/>
        <w:t>« L'assemblée des chambres françaises de commerce et d'industrie établit et tient à jour un fichier des personnes titulaires de la carte professionnelle, selon des modalités définies par décret. » ;</w:t>
      </w:r>
      <w:r w:rsidRPr="00874A27">
        <w:rPr>
          <w:rFonts w:ascii="Arial" w:eastAsia="Times New Roman" w:hAnsi="Arial" w:cs="Arial"/>
          <w:color w:val="000000"/>
          <w:sz w:val="19"/>
          <w:szCs w:val="19"/>
          <w:lang w:eastAsia="fr-FR"/>
        </w:rPr>
        <w:br/>
        <w:t>c) Le 2° est ainsi modifié :</w:t>
      </w:r>
      <w:r w:rsidRPr="00874A27">
        <w:rPr>
          <w:rFonts w:ascii="Arial" w:eastAsia="Times New Roman" w:hAnsi="Arial" w:cs="Arial"/>
          <w:color w:val="000000"/>
          <w:sz w:val="19"/>
          <w:szCs w:val="19"/>
          <w:lang w:eastAsia="fr-FR"/>
        </w:rPr>
        <w:br/>
        <w:t>― après le mot : « dernier », sont insérés les mots : « , y compris les sommes versées au fonds de travaux mentionné à l'</w:t>
      </w:r>
      <w:hyperlink r:id="rId124" w:history="1">
        <w:r w:rsidRPr="00874A27">
          <w:rPr>
            <w:rFonts w:ascii="Arial" w:eastAsia="Times New Roman" w:hAnsi="Arial" w:cs="Arial"/>
            <w:color w:val="336699"/>
            <w:sz w:val="19"/>
            <w:szCs w:val="19"/>
            <w:u w:val="single"/>
            <w:lang w:eastAsia="fr-FR"/>
          </w:rPr>
          <w:t>article 14-2 de la loi n° 65-557 du 10 juillet 1965</w:t>
        </w:r>
      </w:hyperlink>
      <w:r w:rsidRPr="00874A27">
        <w:rPr>
          <w:rFonts w:ascii="Arial" w:eastAsia="Times New Roman" w:hAnsi="Arial" w:cs="Arial"/>
          <w:color w:val="000000"/>
          <w:sz w:val="19"/>
          <w:szCs w:val="19"/>
          <w:lang w:eastAsia="fr-FR"/>
        </w:rPr>
        <w:t> fixant le statut de la copropriété des immeubles bâtis » ;</w:t>
      </w:r>
      <w:r w:rsidRPr="00874A27">
        <w:rPr>
          <w:rFonts w:ascii="Arial" w:eastAsia="Times New Roman" w:hAnsi="Arial" w:cs="Arial"/>
          <w:color w:val="000000"/>
          <w:sz w:val="19"/>
          <w:szCs w:val="19"/>
          <w:lang w:eastAsia="fr-FR"/>
        </w:rPr>
        <w:br/>
        <w:t>― après le mot : « valeur », sont insérés les mots : « pour les activités mentionnées à l'article 1er, à l'exception de celles mentionnées aux 6° et 9° du même article » ;</w:t>
      </w:r>
      <w:r w:rsidRPr="00874A27">
        <w:rPr>
          <w:rFonts w:ascii="Arial" w:eastAsia="Times New Roman" w:hAnsi="Arial" w:cs="Arial"/>
          <w:color w:val="000000"/>
          <w:sz w:val="19"/>
          <w:szCs w:val="19"/>
          <w:lang w:eastAsia="fr-FR"/>
        </w:rPr>
        <w:br/>
        <w:t>― sont ajoutées deux phrases ainsi rédigées :</w:t>
      </w:r>
      <w:r w:rsidRPr="00874A27">
        <w:rPr>
          <w:rFonts w:ascii="Arial" w:eastAsia="Times New Roman" w:hAnsi="Arial" w:cs="Arial"/>
          <w:color w:val="000000"/>
          <w:sz w:val="19"/>
          <w:szCs w:val="19"/>
          <w:lang w:eastAsia="fr-FR"/>
        </w:rPr>
        <w:br/>
        <w:t>« Seuls les garants financiers ayant mis en place des procédures de contrôle internes, au moyen d'un référentiel et de modèles de suivi des risques, sont habilités à délivrer la garantie financière. Un décret en Conseil d'Etat définit les procédures et les conditions dans lesquelles les garants exercent leurs missions de contrôle sur les fonds qu'ils garantissent en application du présent article ; »</w:t>
      </w:r>
      <w:r w:rsidRPr="00874A27">
        <w:rPr>
          <w:rFonts w:ascii="Arial" w:eastAsia="Times New Roman" w:hAnsi="Arial" w:cs="Arial"/>
          <w:color w:val="000000"/>
          <w:sz w:val="19"/>
          <w:szCs w:val="19"/>
          <w:lang w:eastAsia="fr-FR"/>
        </w:rPr>
        <w:br/>
        <w:t>4° Après l'article 3, il est inséré un article 3-1 ainsi rédigé :</w:t>
      </w:r>
      <w:r w:rsidRPr="00874A27">
        <w:rPr>
          <w:rFonts w:ascii="Arial" w:eastAsia="Times New Roman" w:hAnsi="Arial" w:cs="Arial"/>
          <w:color w:val="000000"/>
          <w:sz w:val="19"/>
          <w:szCs w:val="19"/>
          <w:lang w:eastAsia="fr-FR"/>
        </w:rPr>
        <w:br/>
        <w:t>« Art. 3-1. - Les personnes mentionnées à l'article 1er, au dernier alinéa de l'article 3 et à l'article 4 sont, à l'exception de celles mentionnées à l'article 8-1, soumises à une obligation de formation continue. Leur carte professionnelle ne peut être renouvelée si elles ne justifient pas avoir rempli cette obligation.</w:t>
      </w:r>
      <w:r w:rsidRPr="00874A27">
        <w:rPr>
          <w:rFonts w:ascii="Arial" w:eastAsia="Times New Roman" w:hAnsi="Arial" w:cs="Arial"/>
          <w:color w:val="000000"/>
          <w:sz w:val="19"/>
          <w:szCs w:val="19"/>
          <w:lang w:eastAsia="fr-FR"/>
        </w:rPr>
        <w:br/>
        <w:t>« Un décret détermine la nature et la durée des activités susceptibles d'être validées au titre de l'obligation de formation continue, les modalités selon lesquelles elle s'accomplit, celles de son contrôle et celles de sa justification en cas de renouvellement de la carte professionnelle. » ;</w:t>
      </w:r>
      <w:r w:rsidRPr="00874A27">
        <w:rPr>
          <w:rFonts w:ascii="Arial" w:eastAsia="Times New Roman" w:hAnsi="Arial" w:cs="Arial"/>
          <w:color w:val="000000"/>
          <w:sz w:val="19"/>
          <w:szCs w:val="19"/>
          <w:lang w:eastAsia="fr-FR"/>
        </w:rPr>
        <w:br/>
        <w:t>5° L'article 4 est ainsi modifié :</w:t>
      </w:r>
      <w:r w:rsidRPr="00874A27">
        <w:rPr>
          <w:rFonts w:ascii="Arial" w:eastAsia="Times New Roman" w:hAnsi="Arial" w:cs="Arial"/>
          <w:color w:val="000000"/>
          <w:sz w:val="19"/>
          <w:szCs w:val="19"/>
          <w:lang w:eastAsia="fr-FR"/>
        </w:rPr>
        <w:br/>
        <w:t>a) A la première phrase du premier alinéa, après le mot : « justifie », sont insérés les mots : « d'une compétence professionnelle, » ;</w:t>
      </w:r>
      <w:r w:rsidRPr="00874A27">
        <w:rPr>
          <w:rFonts w:ascii="Arial" w:eastAsia="Times New Roman" w:hAnsi="Arial" w:cs="Arial"/>
          <w:color w:val="000000"/>
          <w:sz w:val="19"/>
          <w:szCs w:val="19"/>
          <w:lang w:eastAsia="fr-FR"/>
        </w:rPr>
        <w:br/>
        <w:t>b) Le deuxième alinéa est ainsi modifié :</w:t>
      </w:r>
      <w:r w:rsidRPr="00874A27">
        <w:rPr>
          <w:rFonts w:ascii="Arial" w:eastAsia="Times New Roman" w:hAnsi="Arial" w:cs="Arial"/>
          <w:color w:val="000000"/>
          <w:sz w:val="19"/>
          <w:szCs w:val="19"/>
          <w:lang w:eastAsia="fr-FR"/>
        </w:rPr>
        <w:br/>
        <w:t>― après la première phrase, est insérée une phrase ainsi rédigée :</w:t>
      </w:r>
      <w:r w:rsidRPr="00874A27">
        <w:rPr>
          <w:rFonts w:ascii="Arial" w:eastAsia="Times New Roman" w:hAnsi="Arial" w:cs="Arial"/>
          <w:color w:val="000000"/>
          <w:sz w:val="19"/>
          <w:szCs w:val="19"/>
          <w:lang w:eastAsia="fr-FR"/>
        </w:rPr>
        <w:br/>
        <w:t>« Ces personnes doivent contracter une assurance contre les conséquences pécuniaires de leur responsabilité civile professionnelle, dans des conditions fixées par décret en Conseil d'Etat. » ;</w:t>
      </w:r>
      <w:r w:rsidRPr="00874A27">
        <w:rPr>
          <w:rFonts w:ascii="Arial" w:eastAsia="Times New Roman" w:hAnsi="Arial" w:cs="Arial"/>
          <w:color w:val="000000"/>
          <w:sz w:val="19"/>
          <w:szCs w:val="19"/>
          <w:lang w:eastAsia="fr-FR"/>
        </w:rPr>
        <w:br/>
        <w:t>― les deux dernières phrases sont supprimées ;</w:t>
      </w:r>
      <w:r w:rsidRPr="00874A27">
        <w:rPr>
          <w:rFonts w:ascii="Arial" w:eastAsia="Times New Roman" w:hAnsi="Arial" w:cs="Arial"/>
          <w:color w:val="000000"/>
          <w:sz w:val="19"/>
          <w:szCs w:val="19"/>
          <w:lang w:eastAsia="fr-FR"/>
        </w:rPr>
        <w:br/>
        <w:t>c) Le dernier alinéa est remplacé par cinq alinéas ainsi rédigés :</w:t>
      </w:r>
      <w:r w:rsidRPr="00874A27">
        <w:rPr>
          <w:rFonts w:ascii="Arial" w:eastAsia="Times New Roman" w:hAnsi="Arial" w:cs="Arial"/>
          <w:color w:val="000000"/>
          <w:sz w:val="19"/>
          <w:szCs w:val="19"/>
          <w:lang w:eastAsia="fr-FR"/>
        </w:rPr>
        <w:br/>
        <w:t>« Ces personnes ne peuvent pas :</w:t>
      </w:r>
      <w:r w:rsidRPr="00874A27">
        <w:rPr>
          <w:rFonts w:ascii="Arial" w:eastAsia="Times New Roman" w:hAnsi="Arial" w:cs="Arial"/>
          <w:color w:val="000000"/>
          <w:sz w:val="19"/>
          <w:szCs w:val="19"/>
          <w:lang w:eastAsia="fr-FR"/>
        </w:rPr>
        <w:br/>
        <w:t xml:space="preserve">« 1° Recevoir ou détenir, directement ou indirectement, des sommes d'argent, des biens, des effets ou </w:t>
      </w:r>
      <w:r w:rsidRPr="00874A27">
        <w:rPr>
          <w:rFonts w:ascii="Arial" w:eastAsia="Times New Roman" w:hAnsi="Arial" w:cs="Arial"/>
          <w:color w:val="000000"/>
          <w:sz w:val="19"/>
          <w:szCs w:val="19"/>
          <w:lang w:eastAsia="fr-FR"/>
        </w:rPr>
        <w:lastRenderedPageBreak/>
        <w:t>des valeurs ou en disposer à l'occasion des activités mentionnées à l'article 1er de la présente loi ;</w:t>
      </w:r>
      <w:r w:rsidRPr="00874A27">
        <w:rPr>
          <w:rFonts w:ascii="Arial" w:eastAsia="Times New Roman" w:hAnsi="Arial" w:cs="Arial"/>
          <w:color w:val="000000"/>
          <w:sz w:val="19"/>
          <w:szCs w:val="19"/>
          <w:lang w:eastAsia="fr-FR"/>
        </w:rPr>
        <w:br/>
        <w:t>« 2° Donner des consultations juridiques ni rédiger des actes sous seing privé, à l'exception de mandats conclus au profit du titulaire de la carte professionnelle mentionnée à l'article 3 ;</w:t>
      </w:r>
      <w:r w:rsidRPr="00874A27">
        <w:rPr>
          <w:rFonts w:ascii="Arial" w:eastAsia="Times New Roman" w:hAnsi="Arial" w:cs="Arial"/>
          <w:color w:val="000000"/>
          <w:sz w:val="19"/>
          <w:szCs w:val="19"/>
          <w:lang w:eastAsia="fr-FR"/>
        </w:rPr>
        <w:br/>
        <w:t>« 3° Assurer la direction d'un établissement, d'une succursale, d'une agence ou d'un bureau.</w:t>
      </w:r>
      <w:r w:rsidRPr="00874A27">
        <w:rPr>
          <w:rFonts w:ascii="Arial" w:eastAsia="Times New Roman" w:hAnsi="Arial" w:cs="Arial"/>
          <w:color w:val="000000"/>
          <w:sz w:val="19"/>
          <w:szCs w:val="19"/>
          <w:lang w:eastAsia="fr-FR"/>
        </w:rPr>
        <w:br/>
        <w:t>« Les personnes qui, à la date d'entrée en vigueur de la </w:t>
      </w:r>
      <w:hyperlink r:id="rId125" w:history="1">
        <w:r w:rsidRPr="00874A27">
          <w:rPr>
            <w:rFonts w:ascii="Arial" w:eastAsia="Times New Roman" w:hAnsi="Arial" w:cs="Arial"/>
            <w:color w:val="336699"/>
            <w:sz w:val="19"/>
            <w:szCs w:val="19"/>
            <w:u w:val="single"/>
            <w:lang w:eastAsia="fr-FR"/>
          </w:rPr>
          <w:t>loi n° 2014-366 du 24 mars 2014</w:t>
        </w:r>
      </w:hyperlink>
      <w:r w:rsidRPr="00874A27">
        <w:rPr>
          <w:rFonts w:ascii="Arial" w:eastAsia="Times New Roman" w:hAnsi="Arial" w:cs="Arial"/>
          <w:color w:val="000000"/>
          <w:sz w:val="19"/>
          <w:szCs w:val="19"/>
          <w:lang w:eastAsia="fr-FR"/>
        </w:rPr>
        <w:t> pour l'accès au logement et un urbanisme rénové, disposent de l'habilitation mentionnée au premier alinéa sont réputées justifier de la compétence professionnelle mentionnée au présent article. » ;</w:t>
      </w:r>
      <w:r w:rsidRPr="00874A27">
        <w:rPr>
          <w:rFonts w:ascii="Arial" w:eastAsia="Times New Roman" w:hAnsi="Arial" w:cs="Arial"/>
          <w:color w:val="000000"/>
          <w:sz w:val="19"/>
          <w:szCs w:val="19"/>
          <w:lang w:eastAsia="fr-FR"/>
        </w:rPr>
        <w:br/>
        <w:t>6° L'article 4-1 est ainsi rédigé :</w:t>
      </w:r>
      <w:r w:rsidRPr="00874A27">
        <w:rPr>
          <w:rFonts w:ascii="Arial" w:eastAsia="Times New Roman" w:hAnsi="Arial" w:cs="Arial"/>
          <w:color w:val="000000"/>
          <w:sz w:val="19"/>
          <w:szCs w:val="19"/>
          <w:lang w:eastAsia="fr-FR"/>
        </w:rPr>
        <w:br/>
        <w:t>« Art. 4-1. - Lorsque les personnes mentionnées à l'article 1er proposent à leurs clients les services d'une entreprise, elles sont tenues de les informer, dans des conditions définies par décret en Conseil d'Etat et avant la conclusion de tout contrat avec ladite entreprise, des éventuels liens directs de nature capitalistique ou des liens de nature juridique qu'elles ont ou que les personnes mentionnées au dernier alinéa de l'article 3 et à l'article 4, intervenant pour ces clients, ont avec cette entreprise.</w:t>
      </w:r>
      <w:r w:rsidRPr="00874A27">
        <w:rPr>
          <w:rFonts w:ascii="Arial" w:eastAsia="Times New Roman" w:hAnsi="Arial" w:cs="Arial"/>
          <w:color w:val="000000"/>
          <w:sz w:val="19"/>
          <w:szCs w:val="19"/>
          <w:lang w:eastAsia="fr-FR"/>
        </w:rPr>
        <w:br/>
        <w:t>« Cette obligation s'applique également lorsque les personnes mentionnées au même article 1er proposent à leurs clients les services d'un établissement bancaire ou d'une société financière.</w:t>
      </w:r>
      <w:r w:rsidRPr="00874A27">
        <w:rPr>
          <w:rFonts w:ascii="Arial" w:eastAsia="Times New Roman" w:hAnsi="Arial" w:cs="Arial"/>
          <w:color w:val="000000"/>
          <w:sz w:val="19"/>
          <w:szCs w:val="19"/>
          <w:lang w:eastAsia="fr-FR"/>
        </w:rPr>
        <w:br/>
        <w:t>« Les personnes mentionnées au dernier alinéa du même article 3 et les personnes habilitées par un titulaire de la carte professionnelle conformément au même article 4 sont tenues de l'informer des liens mentionnés aux premier et deuxième alinéas du présent article qu'elles ont avec une entreprise, un établissement bancaire ou une société financière dont le titulaire de la carte professionnelle propose les services à ses clients. » ;</w:t>
      </w:r>
      <w:r w:rsidRPr="00874A27">
        <w:rPr>
          <w:rFonts w:ascii="Arial" w:eastAsia="Times New Roman" w:hAnsi="Arial" w:cs="Arial"/>
          <w:color w:val="000000"/>
          <w:sz w:val="19"/>
          <w:szCs w:val="19"/>
          <w:lang w:eastAsia="fr-FR"/>
        </w:rPr>
        <w:br/>
        <w:t>7° A l'article 5, après les mots : « d'argent », sont insérés les mots : « ne constituant ni une rémunération, ni des honoraires » ;</w:t>
      </w:r>
      <w:r w:rsidRPr="00874A27">
        <w:rPr>
          <w:rFonts w:ascii="Arial" w:eastAsia="Times New Roman" w:hAnsi="Arial" w:cs="Arial"/>
          <w:color w:val="000000"/>
          <w:sz w:val="19"/>
          <w:szCs w:val="19"/>
          <w:lang w:eastAsia="fr-FR"/>
        </w:rPr>
        <w:br/>
        <w:t>8° Le I de l'article 6 est ainsi modifié :</w:t>
      </w:r>
      <w:r w:rsidRPr="00874A27">
        <w:rPr>
          <w:rFonts w:ascii="Arial" w:eastAsia="Times New Roman" w:hAnsi="Arial" w:cs="Arial"/>
          <w:color w:val="000000"/>
          <w:sz w:val="19"/>
          <w:szCs w:val="19"/>
          <w:lang w:eastAsia="fr-FR"/>
        </w:rPr>
        <w:br/>
        <w:t>a) Après le quatrième alinéa, sont insérés deux alinéas ainsi rédigés :</w:t>
      </w:r>
      <w:r w:rsidRPr="00874A27">
        <w:rPr>
          <w:rFonts w:ascii="Arial" w:eastAsia="Times New Roman" w:hAnsi="Arial" w:cs="Arial"/>
          <w:color w:val="000000"/>
          <w:sz w:val="19"/>
          <w:szCs w:val="19"/>
          <w:lang w:eastAsia="fr-FR"/>
        </w:rPr>
        <w:br/>
        <w:t>« Les moyens employés par ces personnes et, le cas échéant, par le réseau auquel elles appartiennent pour diffuser auprès du public les annonces commerciales afférentes aux opérations mentionnées au 1° du même article 1er.</w:t>
      </w:r>
      <w:r w:rsidRPr="00874A27">
        <w:rPr>
          <w:rFonts w:ascii="Arial" w:eastAsia="Times New Roman" w:hAnsi="Arial" w:cs="Arial"/>
          <w:color w:val="000000"/>
          <w:sz w:val="19"/>
          <w:szCs w:val="19"/>
          <w:lang w:eastAsia="fr-FR"/>
        </w:rPr>
        <w:br/>
        <w:t>« En outre, lorsqu'une convention comporte une clause d'exclusivité, elle précise les actions que le mandataire s'engage à réaliser pour exécuter la prestation qui lui a été confiée ainsi que les modalités selon lesquelles il rend compte au mandant des actions effectuées pour son compte, selon une périodicité déterminée par les parties. » ;</w:t>
      </w:r>
      <w:r w:rsidRPr="00874A27">
        <w:rPr>
          <w:rFonts w:ascii="Arial" w:eastAsia="Times New Roman" w:hAnsi="Arial" w:cs="Arial"/>
          <w:color w:val="000000"/>
          <w:sz w:val="19"/>
          <w:szCs w:val="19"/>
          <w:lang w:eastAsia="fr-FR"/>
        </w:rPr>
        <w:br/>
        <w:t>b) Au sixième alinéa, les mots : « de commissions » sont remplacés par les mots : « d'honoraires » ;</w:t>
      </w:r>
      <w:r w:rsidRPr="00874A27">
        <w:rPr>
          <w:rFonts w:ascii="Arial" w:eastAsia="Times New Roman" w:hAnsi="Arial" w:cs="Arial"/>
          <w:color w:val="000000"/>
          <w:sz w:val="19"/>
          <w:szCs w:val="19"/>
          <w:lang w:eastAsia="fr-FR"/>
        </w:rPr>
        <w:br/>
        <w:t>c) L'avant-dernier alinéa est ainsi modifié :</w:t>
      </w:r>
      <w:r w:rsidRPr="00874A27">
        <w:rPr>
          <w:rFonts w:ascii="Arial" w:eastAsia="Times New Roman" w:hAnsi="Arial" w:cs="Arial"/>
          <w:color w:val="000000"/>
          <w:sz w:val="19"/>
          <w:szCs w:val="19"/>
          <w:lang w:eastAsia="fr-FR"/>
        </w:rPr>
        <w:br/>
        <w:t>― les mots : « une commission sera due » sont remplacés par les mots : « des honoraires sont dus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La somme versée par le mandant en application de cette clause ne peut excéder un montant fixé par décret en Conseil d'Etat. » ;</w:t>
      </w:r>
      <w:r w:rsidRPr="00874A27">
        <w:rPr>
          <w:rFonts w:ascii="Arial" w:eastAsia="Times New Roman" w:hAnsi="Arial" w:cs="Arial"/>
          <w:color w:val="000000"/>
          <w:sz w:val="19"/>
          <w:szCs w:val="19"/>
          <w:lang w:eastAsia="fr-FR"/>
        </w:rPr>
        <w:br/>
        <w:t>d) Il est ajouté un alinéa ainsi rédigé :</w:t>
      </w:r>
      <w:r w:rsidRPr="00874A27">
        <w:rPr>
          <w:rFonts w:ascii="Arial" w:eastAsia="Times New Roman" w:hAnsi="Arial" w:cs="Arial"/>
          <w:color w:val="000000"/>
          <w:sz w:val="19"/>
          <w:szCs w:val="19"/>
          <w:lang w:eastAsia="fr-FR"/>
        </w:rPr>
        <w:br/>
        <w:t>« La convention conclue entre la personne qui se livre à l'activité mentionnée au 7° de l'article 1er et le propriétaire du bien inscrit sur la liste ou le fichier, ou le titulaire de droits sur ce bien, comporte une clause d'exclusivité d'une durée limitée aux termes de laquelle ce dernier s'engage, d'une part, à ne pas confier la location ou la vente de son bien à une autre personne exerçant une activité mentionnée à l'article 1er et, d'autre part, à ne pas publier d'annonce par voie de presse. » ;</w:t>
      </w:r>
      <w:r w:rsidRPr="00874A27">
        <w:rPr>
          <w:rFonts w:ascii="Arial" w:eastAsia="Times New Roman" w:hAnsi="Arial" w:cs="Arial"/>
          <w:color w:val="000000"/>
          <w:sz w:val="19"/>
          <w:szCs w:val="19"/>
          <w:lang w:eastAsia="fr-FR"/>
        </w:rPr>
        <w:br/>
        <w:t>9° Le II du même article 6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à la seconde phrase, après le mot : « recherché, », sont insérés les mots : « l'ensemble des obligations professionnelles qui incombent au professionnel mentionné au présent alinéa,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Elle précise également les conditions de remboursement de tout ou partie de la rémunération lorsque la prestation fournie au client n'est pas conforme à la nature promise dans ladite convention. » ;</w:t>
      </w:r>
      <w:r w:rsidRPr="00874A27">
        <w:rPr>
          <w:rFonts w:ascii="Arial" w:eastAsia="Times New Roman" w:hAnsi="Arial" w:cs="Arial"/>
          <w:color w:val="000000"/>
          <w:sz w:val="19"/>
          <w:szCs w:val="19"/>
          <w:lang w:eastAsia="fr-FR"/>
        </w:rPr>
        <w:br/>
        <w:t>b) Après le même premier alinéa, il est inséré un alinéa ainsi rédigé :</w:t>
      </w:r>
      <w:r w:rsidRPr="00874A27">
        <w:rPr>
          <w:rFonts w:ascii="Arial" w:eastAsia="Times New Roman" w:hAnsi="Arial" w:cs="Arial"/>
          <w:color w:val="000000"/>
          <w:sz w:val="19"/>
          <w:szCs w:val="19"/>
          <w:lang w:eastAsia="fr-FR"/>
        </w:rPr>
        <w:br/>
        <w:t>« Les conditions et les modalités d'application de la mesure de remboursement partiel ou total prévue au premier alinéa du présent II sont définies par décret. » ;</w:t>
      </w:r>
      <w:r w:rsidRPr="00874A27">
        <w:rPr>
          <w:rFonts w:ascii="Arial" w:eastAsia="Times New Roman" w:hAnsi="Arial" w:cs="Arial"/>
          <w:color w:val="000000"/>
          <w:sz w:val="19"/>
          <w:szCs w:val="19"/>
          <w:lang w:eastAsia="fr-FR"/>
        </w:rPr>
        <w:br/>
        <w:t>10° Après l'article 6, sont insérés des articles 6-1 et 6-2 ainsi rédigés :</w:t>
      </w:r>
      <w:r w:rsidRPr="00874A27">
        <w:rPr>
          <w:rFonts w:ascii="Arial" w:eastAsia="Times New Roman" w:hAnsi="Arial" w:cs="Arial"/>
          <w:color w:val="000000"/>
          <w:sz w:val="19"/>
          <w:szCs w:val="19"/>
          <w:lang w:eastAsia="fr-FR"/>
        </w:rPr>
        <w:br/>
        <w:t>« Art. 6-1. - Toute publicité effectuée par une personne mentionnée à l'article 1er et relative aux opérations prévues au 1° de ce même article mentionne, quel que soit le support utilisé, le montant toutes taxes comprises de ses honoraires exprimé, pour ce qui concerne les opérations de vente, en pourcentage du prix, lorsqu'ils sont à la charge du locataire ou de l'acquéreur.</w:t>
      </w:r>
      <w:r w:rsidRPr="00874A27">
        <w:rPr>
          <w:rFonts w:ascii="Arial" w:eastAsia="Times New Roman" w:hAnsi="Arial" w:cs="Arial"/>
          <w:color w:val="000000"/>
          <w:sz w:val="19"/>
          <w:szCs w:val="19"/>
          <w:lang w:eastAsia="fr-FR"/>
        </w:rPr>
        <w:br/>
        <w:t>« Art. 6-2. - Toute publicité relative à des opérations mentionnées au 1° de l'article 1er et proposées par une personne habilitée par un titulaire de la carte professionnelle à négocier, s'entremettre ou s'engager pour le compte de ce dernier, et non salariée, mentionne que cette personne exerce sous le statut d'agent commercial.</w:t>
      </w:r>
      <w:r w:rsidRPr="00874A27">
        <w:rPr>
          <w:rFonts w:ascii="Arial" w:eastAsia="Times New Roman" w:hAnsi="Arial" w:cs="Arial"/>
          <w:color w:val="000000"/>
          <w:sz w:val="19"/>
          <w:szCs w:val="19"/>
          <w:lang w:eastAsia="fr-FR"/>
        </w:rPr>
        <w:br/>
        <w:t xml:space="preserve">« Cette obligation de mentionner le statut d'agent commercial est étendue au mandat de vente ou de recherche et à tous les documents d'une transaction immobilière à laquelle la personne habilitée </w:t>
      </w:r>
      <w:r w:rsidRPr="00874A27">
        <w:rPr>
          <w:rFonts w:ascii="Arial" w:eastAsia="Times New Roman" w:hAnsi="Arial" w:cs="Arial"/>
          <w:color w:val="000000"/>
          <w:sz w:val="19"/>
          <w:szCs w:val="19"/>
          <w:lang w:eastAsia="fr-FR"/>
        </w:rPr>
        <w:lastRenderedPageBreak/>
        <w:t>mentionnée au premier alinéa participe. » ;</w:t>
      </w:r>
      <w:r w:rsidRPr="00874A27">
        <w:rPr>
          <w:rFonts w:ascii="Arial" w:eastAsia="Times New Roman" w:hAnsi="Arial" w:cs="Arial"/>
          <w:color w:val="000000"/>
          <w:sz w:val="19"/>
          <w:szCs w:val="19"/>
          <w:lang w:eastAsia="fr-FR"/>
        </w:rPr>
        <w:br/>
        <w:t>11° L'article 7 est complété par trois alinéas ainsi rédigés :</w:t>
      </w:r>
      <w:r w:rsidRPr="00874A27">
        <w:rPr>
          <w:rFonts w:ascii="Arial" w:eastAsia="Times New Roman" w:hAnsi="Arial" w:cs="Arial"/>
          <w:color w:val="000000"/>
          <w:sz w:val="19"/>
          <w:szCs w:val="19"/>
          <w:lang w:eastAsia="fr-FR"/>
        </w:rPr>
        <w:br/>
        <w:t>« Lorsque le mandant n'agit pas dans le cadre de ses activités professionnelles :</w:t>
      </w:r>
      <w:r w:rsidRPr="00874A27">
        <w:rPr>
          <w:rFonts w:ascii="Arial" w:eastAsia="Times New Roman" w:hAnsi="Arial" w:cs="Arial"/>
          <w:color w:val="000000"/>
          <w:sz w:val="19"/>
          <w:szCs w:val="19"/>
          <w:lang w:eastAsia="fr-FR"/>
        </w:rPr>
        <w:br/>
        <w:t>« 1° Les modalités de non-reconduction des contrats définies aux deux </w:t>
      </w:r>
      <w:hyperlink r:id="rId126" w:history="1">
        <w:r w:rsidRPr="00874A27">
          <w:rPr>
            <w:rFonts w:ascii="Arial" w:eastAsia="Times New Roman" w:hAnsi="Arial" w:cs="Arial"/>
            <w:color w:val="336699"/>
            <w:sz w:val="19"/>
            <w:szCs w:val="19"/>
            <w:u w:val="single"/>
            <w:lang w:eastAsia="fr-FR"/>
          </w:rPr>
          <w:t>premiers alinéas de l'article L. 136-1 du code de la consommation</w:t>
        </w:r>
      </w:hyperlink>
      <w:r w:rsidRPr="00874A27">
        <w:rPr>
          <w:rFonts w:ascii="Arial" w:eastAsia="Times New Roman" w:hAnsi="Arial" w:cs="Arial"/>
          <w:color w:val="000000"/>
          <w:sz w:val="19"/>
          <w:szCs w:val="19"/>
          <w:lang w:eastAsia="fr-FR"/>
        </w:rPr>
        <w:t> sont mentionnées de manière lisible et visible dans les conventions prévues au premier alinéa du I de l'article 6 de la présente loi ;</w:t>
      </w:r>
      <w:r w:rsidRPr="00874A27">
        <w:rPr>
          <w:rFonts w:ascii="Arial" w:eastAsia="Times New Roman" w:hAnsi="Arial" w:cs="Arial"/>
          <w:color w:val="000000"/>
          <w:sz w:val="19"/>
          <w:szCs w:val="19"/>
          <w:lang w:eastAsia="fr-FR"/>
        </w:rPr>
        <w:br/>
        <w:t>« 2° Lorsque ces conventions portent sur des opérations mentionnées aux 1° et 4° de l'article 1er et qu'elles comportent une clause d'exclusivité, elles mentionnent en caractères très apparents les </w:t>
      </w:r>
      <w:hyperlink r:id="rId127" w:history="1">
        <w:r w:rsidRPr="00874A27">
          <w:rPr>
            <w:rFonts w:ascii="Arial" w:eastAsia="Times New Roman" w:hAnsi="Arial" w:cs="Arial"/>
            <w:color w:val="336699"/>
            <w:sz w:val="19"/>
            <w:szCs w:val="19"/>
            <w:u w:val="single"/>
            <w:lang w:eastAsia="fr-FR"/>
          </w:rPr>
          <w:t>dispositions du deuxième alinéa de l'article 78 du décret n° 72-678 du 20 juillet 1972</w:t>
        </w:r>
      </w:hyperlink>
      <w:r w:rsidRPr="00874A27">
        <w:rPr>
          <w:rFonts w:ascii="Arial" w:eastAsia="Times New Roman" w:hAnsi="Arial" w:cs="Arial"/>
          <w:color w:val="000000"/>
          <w:sz w:val="19"/>
          <w:szCs w:val="19"/>
          <w:lang w:eastAsia="fr-FR"/>
        </w:rPr>
        <w:t> fixant les conditions d'application de la </w:t>
      </w:r>
      <w:hyperlink r:id="rId128" w:history="1">
        <w:r w:rsidRPr="00874A27">
          <w:rPr>
            <w:rFonts w:ascii="Arial" w:eastAsia="Times New Roman" w:hAnsi="Arial" w:cs="Arial"/>
            <w:color w:val="336699"/>
            <w:sz w:val="19"/>
            <w:szCs w:val="19"/>
            <w:u w:val="single"/>
            <w:lang w:eastAsia="fr-FR"/>
          </w:rPr>
          <w:t>loi n° 70-9 du 2 janvier 1970</w:t>
        </w:r>
      </w:hyperlink>
      <w:r w:rsidRPr="00874A27">
        <w:rPr>
          <w:rFonts w:ascii="Arial" w:eastAsia="Times New Roman" w:hAnsi="Arial" w:cs="Arial"/>
          <w:color w:val="000000"/>
          <w:sz w:val="19"/>
          <w:szCs w:val="19"/>
          <w:lang w:eastAsia="fr-FR"/>
        </w:rPr>
        <w:t> réglementant les conditions d'exercice des activités relatives à certaines opérations portant sur les immeubles et fonds de commerce, exception faite des mandats portant sur les opérations exclues par les troisième à sixième alinéas de ce même article. » ;</w:t>
      </w:r>
      <w:r w:rsidRPr="00874A27">
        <w:rPr>
          <w:rFonts w:ascii="Arial" w:eastAsia="Times New Roman" w:hAnsi="Arial" w:cs="Arial"/>
          <w:color w:val="000000"/>
          <w:sz w:val="19"/>
          <w:szCs w:val="19"/>
          <w:lang w:eastAsia="fr-FR"/>
        </w:rPr>
        <w:br/>
        <w:t>12° A la première phrase de l'article 8-1, le mot : « préfet » est remplacé par les mots : « président de la chambre de commerce et d'industrie territoriale ou de la chambre départementale d'Ile-de-France, » ;</w:t>
      </w:r>
      <w:r w:rsidRPr="00874A27">
        <w:rPr>
          <w:rFonts w:ascii="Arial" w:eastAsia="Times New Roman" w:hAnsi="Arial" w:cs="Arial"/>
          <w:color w:val="000000"/>
          <w:sz w:val="19"/>
          <w:szCs w:val="19"/>
          <w:lang w:eastAsia="fr-FR"/>
        </w:rPr>
        <w:br/>
        <w:t>13° Il est ajouté un article 8-3 ainsi rédigé :</w:t>
      </w:r>
      <w:r w:rsidRPr="00874A27">
        <w:rPr>
          <w:rFonts w:ascii="Arial" w:eastAsia="Times New Roman" w:hAnsi="Arial" w:cs="Arial"/>
          <w:color w:val="000000"/>
          <w:sz w:val="19"/>
          <w:szCs w:val="19"/>
          <w:lang w:eastAsia="fr-FR"/>
        </w:rPr>
        <w:br/>
        <w:t>« Art. 8-3. - I. ― La commission de contrôle des activités de transaction et de gestion immobilières mentionnée à l'article 13-5 de la présente loi transmet à l'autorité administrative chargée de la concurrence et de la consommation toute information relative à des infractions ou manquements mentionnés à l'</w:t>
      </w:r>
      <w:hyperlink r:id="rId129" w:history="1">
        <w:r w:rsidRPr="00874A27">
          <w:rPr>
            <w:rFonts w:ascii="Arial" w:eastAsia="Times New Roman" w:hAnsi="Arial" w:cs="Arial"/>
            <w:color w:val="336699"/>
            <w:sz w:val="19"/>
            <w:szCs w:val="19"/>
            <w:u w:val="single"/>
            <w:lang w:eastAsia="fr-FR"/>
          </w:rPr>
          <w:t>article L. 141-1 du code de la consommation</w:t>
        </w:r>
      </w:hyperlink>
      <w:r w:rsidRPr="00874A27">
        <w:rPr>
          <w:rFonts w:ascii="Arial" w:eastAsia="Times New Roman" w:hAnsi="Arial" w:cs="Arial"/>
          <w:color w:val="000000"/>
          <w:sz w:val="19"/>
          <w:szCs w:val="19"/>
          <w:lang w:eastAsia="fr-FR"/>
        </w:rPr>
        <w:t> susceptibles d'être imputables à des personnes mentionnées à l'article 1er de la présente loi.</w:t>
      </w:r>
      <w:r w:rsidRPr="00874A27">
        <w:rPr>
          <w:rFonts w:ascii="Arial" w:eastAsia="Times New Roman" w:hAnsi="Arial" w:cs="Arial"/>
          <w:color w:val="000000"/>
          <w:sz w:val="19"/>
          <w:szCs w:val="19"/>
          <w:lang w:eastAsia="fr-FR"/>
        </w:rPr>
        <w:br/>
        <w:t>« II. ― Les personnes mentionnées au même article 1er sont soumises à des contrôles menés par l'autorité administrative chargée de la concurrence et de la consommation, conformément à l'</w:t>
      </w:r>
      <w:hyperlink r:id="rId130" w:history="1">
        <w:r w:rsidRPr="00874A27">
          <w:rPr>
            <w:rFonts w:ascii="Arial" w:eastAsia="Times New Roman" w:hAnsi="Arial" w:cs="Arial"/>
            <w:color w:val="336699"/>
            <w:sz w:val="19"/>
            <w:szCs w:val="19"/>
            <w:u w:val="single"/>
            <w:lang w:eastAsia="fr-FR"/>
          </w:rPr>
          <w:t>article L. 141-1 du code de la consommation</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II. - Après le titre II de la même loi, il est inséré un titre II bis ainsi rédigé :</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II BIS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 DE L'ENCADREMENT ET DU CONTRÔLE DES ACTIVITÉS DE TRANSACTION ET DE GESTION IMMOBILIÈRES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Ier</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Du Conseil national de la transaction</w:t>
      </w:r>
      <w:r w:rsidRPr="00874A27">
        <w:rPr>
          <w:rFonts w:ascii="Arial" w:eastAsia="Times New Roman" w:hAnsi="Arial" w:cs="Arial"/>
          <w:color w:val="000000"/>
          <w:sz w:val="19"/>
          <w:szCs w:val="19"/>
          <w:lang w:eastAsia="fr-FR"/>
        </w:rPr>
        <w:br/>
        <w:t>et de la gestion immobilières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13-1. - Il est créé un Conseil national de la transaction et de la gestion immobilières dont la mission est de veiller au maintien et à la promotion des principes de moralité, de probité et de compétence nécessaires au bon accomplissement des activités mentionnées à l'article 1er par les personnes mentionnées au même article 1er.</w:t>
      </w:r>
      <w:r w:rsidRPr="00874A27">
        <w:rPr>
          <w:rFonts w:ascii="Arial" w:eastAsia="Times New Roman" w:hAnsi="Arial" w:cs="Arial"/>
          <w:color w:val="000000"/>
          <w:sz w:val="19"/>
          <w:szCs w:val="19"/>
          <w:lang w:eastAsia="fr-FR"/>
        </w:rPr>
        <w:br/>
        <w:t>« Le conseil propose au garde des sceaux, ministre de la justice, et aux ministres chargés de la consommation et du logement :</w:t>
      </w:r>
      <w:r w:rsidRPr="00874A27">
        <w:rPr>
          <w:rFonts w:ascii="Arial" w:eastAsia="Times New Roman" w:hAnsi="Arial" w:cs="Arial"/>
          <w:color w:val="000000"/>
          <w:sz w:val="19"/>
          <w:szCs w:val="19"/>
          <w:lang w:eastAsia="fr-FR"/>
        </w:rPr>
        <w:br/>
        <w:t>« 1° Les règles constituant le code de déontologie applicable aux personnes mentionnées à l'article 1er, dont le contenu est fixé par décret ;</w:t>
      </w:r>
      <w:r w:rsidRPr="00874A27">
        <w:rPr>
          <w:rFonts w:ascii="Arial" w:eastAsia="Times New Roman" w:hAnsi="Arial" w:cs="Arial"/>
          <w:color w:val="000000"/>
          <w:sz w:val="19"/>
          <w:szCs w:val="19"/>
          <w:lang w:eastAsia="fr-FR"/>
        </w:rPr>
        <w:br/>
        <w:t>« 2° La nature de l'obligation d'aptitude professionnelle définie au 1° de l'article 3 ;</w:t>
      </w:r>
      <w:r w:rsidRPr="00874A27">
        <w:rPr>
          <w:rFonts w:ascii="Arial" w:eastAsia="Times New Roman" w:hAnsi="Arial" w:cs="Arial"/>
          <w:color w:val="000000"/>
          <w:sz w:val="19"/>
          <w:szCs w:val="19"/>
          <w:lang w:eastAsia="fr-FR"/>
        </w:rPr>
        <w:br/>
        <w:t>« 3° La nature de l'obligation de compétence professionnelle définie à l'article 4 ;</w:t>
      </w:r>
      <w:r w:rsidRPr="00874A27">
        <w:rPr>
          <w:rFonts w:ascii="Arial" w:eastAsia="Times New Roman" w:hAnsi="Arial" w:cs="Arial"/>
          <w:color w:val="000000"/>
          <w:sz w:val="19"/>
          <w:szCs w:val="19"/>
          <w:lang w:eastAsia="fr-FR"/>
        </w:rPr>
        <w:br/>
        <w:t>« 4° La nature et les modalités selon lesquelles s'accomplit la formation continue mentionnée à l'article 3-1 ;</w:t>
      </w:r>
      <w:r w:rsidRPr="00874A27">
        <w:rPr>
          <w:rFonts w:ascii="Arial" w:eastAsia="Times New Roman" w:hAnsi="Arial" w:cs="Arial"/>
          <w:color w:val="000000"/>
          <w:sz w:val="19"/>
          <w:szCs w:val="19"/>
          <w:lang w:eastAsia="fr-FR"/>
        </w:rPr>
        <w:br/>
        <w:t>« 5° Parmi les personnes ayant cessé d'exercer les activités mentionnées à l'article 1er, les représentants des personnes mentionnées au même article 1er qui siègent dans la commission de contrôle mentionnée à l'article 13-5.</w:t>
      </w:r>
      <w:r w:rsidRPr="00874A27">
        <w:rPr>
          <w:rFonts w:ascii="Arial" w:eastAsia="Times New Roman" w:hAnsi="Arial" w:cs="Arial"/>
          <w:color w:val="000000"/>
          <w:sz w:val="19"/>
          <w:szCs w:val="19"/>
          <w:lang w:eastAsia="fr-FR"/>
        </w:rPr>
        <w:br/>
        <w:t>« Le conseil est consulté pour avis sur l'ensemble des projets de textes législatifs ou réglementaires relatifs à l'exercice des activités mentionnées audit article 1er.</w:t>
      </w:r>
      <w:r w:rsidRPr="00874A27">
        <w:rPr>
          <w:rFonts w:ascii="Arial" w:eastAsia="Times New Roman" w:hAnsi="Arial" w:cs="Arial"/>
          <w:color w:val="000000"/>
          <w:sz w:val="19"/>
          <w:szCs w:val="19"/>
          <w:lang w:eastAsia="fr-FR"/>
        </w:rPr>
        <w:br/>
        <w:t>« Le conseil établit chaque année un rapport d'activité.</w:t>
      </w:r>
      <w:r w:rsidRPr="00874A27">
        <w:rPr>
          <w:rFonts w:ascii="Arial" w:eastAsia="Times New Roman" w:hAnsi="Arial" w:cs="Arial"/>
          <w:color w:val="000000"/>
          <w:sz w:val="19"/>
          <w:szCs w:val="19"/>
          <w:lang w:eastAsia="fr-FR"/>
        </w:rPr>
        <w:br/>
        <w:t>« Art. 13-2. - Le conseil est composé majoritairement de représentants des personnes mentionnées à l'article 1er. Ceux-ci sont choisis, en veillant à assurer la représentativité de la profession, sur proposition d'un syndicat professionnel ou d'une union de syndicats professionnels, au sens des articles </w:t>
      </w:r>
      <w:hyperlink r:id="rId131" w:history="1">
        <w:r w:rsidRPr="00874A27">
          <w:rPr>
            <w:rFonts w:ascii="Arial" w:eastAsia="Times New Roman" w:hAnsi="Arial" w:cs="Arial"/>
            <w:color w:val="336699"/>
            <w:sz w:val="19"/>
            <w:szCs w:val="19"/>
            <w:u w:val="single"/>
            <w:lang w:eastAsia="fr-FR"/>
          </w:rPr>
          <w:t>L. 2133-1</w:t>
        </w:r>
      </w:hyperlink>
      <w:r w:rsidRPr="00874A27">
        <w:rPr>
          <w:rFonts w:ascii="Arial" w:eastAsia="Times New Roman" w:hAnsi="Arial" w:cs="Arial"/>
          <w:color w:val="000000"/>
          <w:sz w:val="19"/>
          <w:szCs w:val="19"/>
          <w:lang w:eastAsia="fr-FR"/>
        </w:rPr>
        <w:t> et </w:t>
      </w:r>
      <w:hyperlink r:id="rId132" w:history="1">
        <w:r w:rsidRPr="00874A27">
          <w:rPr>
            <w:rFonts w:ascii="Arial" w:eastAsia="Times New Roman" w:hAnsi="Arial" w:cs="Arial"/>
            <w:color w:val="336699"/>
            <w:sz w:val="19"/>
            <w:szCs w:val="19"/>
            <w:u w:val="single"/>
            <w:lang w:eastAsia="fr-FR"/>
          </w:rPr>
          <w:t>L. 2133-2</w:t>
        </w:r>
      </w:hyperlink>
      <w:r w:rsidRPr="00874A27">
        <w:rPr>
          <w:rFonts w:ascii="Arial" w:eastAsia="Times New Roman" w:hAnsi="Arial" w:cs="Arial"/>
          <w:color w:val="000000"/>
          <w:sz w:val="19"/>
          <w:szCs w:val="19"/>
          <w:lang w:eastAsia="fr-FR"/>
        </w:rPr>
        <w:t> du code du travail, représentatifs des personnes mentionnées à l'article 1er.</w:t>
      </w:r>
      <w:r w:rsidRPr="00874A27">
        <w:rPr>
          <w:rFonts w:ascii="Arial" w:eastAsia="Times New Roman" w:hAnsi="Arial" w:cs="Arial"/>
          <w:color w:val="000000"/>
          <w:sz w:val="19"/>
          <w:szCs w:val="19"/>
          <w:lang w:eastAsia="fr-FR"/>
        </w:rPr>
        <w:br/>
        <w:t>« Le conseil comprend également des représentants des consommateurs choisis parmi les associations de défense des consommateurs œuvrant dans le domaine du logement, agréées en application de l'</w:t>
      </w:r>
      <w:hyperlink r:id="rId133" w:history="1">
        <w:r w:rsidRPr="00874A27">
          <w:rPr>
            <w:rFonts w:ascii="Arial" w:eastAsia="Times New Roman" w:hAnsi="Arial" w:cs="Arial"/>
            <w:color w:val="336699"/>
            <w:sz w:val="19"/>
            <w:szCs w:val="19"/>
            <w:u w:val="single"/>
            <w:lang w:eastAsia="fr-FR"/>
          </w:rPr>
          <w:t>article L. 411-1 du code de la consommation</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Assistent de droit aux réunions du conseil les représentants du ministre de la justice et des ministres chargés du logement et de la consommation.</w:t>
      </w:r>
      <w:r w:rsidRPr="00874A27">
        <w:rPr>
          <w:rFonts w:ascii="Arial" w:eastAsia="Times New Roman" w:hAnsi="Arial" w:cs="Arial"/>
          <w:color w:val="000000"/>
          <w:sz w:val="19"/>
          <w:szCs w:val="19"/>
          <w:lang w:eastAsia="fr-FR"/>
        </w:rPr>
        <w:br/>
        <w:t>« La composition et les modalités de constitution et de fonctionnement du conseil sont fixées par décret.</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II</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Du contrôle des activités de transaction</w:t>
      </w:r>
      <w:r w:rsidRPr="00874A27">
        <w:rPr>
          <w:rFonts w:ascii="Arial" w:eastAsia="Times New Roman" w:hAnsi="Arial" w:cs="Arial"/>
          <w:color w:val="000000"/>
          <w:sz w:val="19"/>
          <w:szCs w:val="19"/>
          <w:lang w:eastAsia="fr-FR"/>
        </w:rPr>
        <w:br/>
        <w:t>et de gestion immobilières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13-3. - Sous réserve des dispositions leur imposant la divulgation de certaines informations, les personnes mentionnées à l'article 1er respectent la confidentialité des données dont elles ont connaissance dans l'exercice de leurs activités. Ce principe ne fait pas obstacle à la communication aux copropriétaires de tout élément nécessaire au bon fonctionnement du syndicat. Il ne fait également pas obstacle au signalement d'un habitat manifestement indigne au sens de l'article 1er-1 de la </w:t>
      </w:r>
      <w:hyperlink r:id="rId134" w:history="1">
        <w:r w:rsidRPr="00874A27">
          <w:rPr>
            <w:rFonts w:ascii="Arial" w:eastAsia="Times New Roman" w:hAnsi="Arial" w:cs="Arial"/>
            <w:color w:val="336699"/>
            <w:sz w:val="19"/>
            <w:szCs w:val="19"/>
            <w:u w:val="single"/>
            <w:lang w:eastAsia="fr-FR"/>
          </w:rPr>
          <w:t>loi n° 90-449 du 31 mai 1990</w:t>
        </w:r>
      </w:hyperlink>
      <w:r w:rsidRPr="00874A27">
        <w:rPr>
          <w:rFonts w:ascii="Arial" w:eastAsia="Times New Roman" w:hAnsi="Arial" w:cs="Arial"/>
          <w:color w:val="000000"/>
          <w:sz w:val="19"/>
          <w:szCs w:val="19"/>
          <w:lang w:eastAsia="fr-FR"/>
        </w:rPr>
        <w:t> visant à la mise en œuvre du droit au logement au maire de la commune concernée.</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III</w:t>
      </w:r>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 De la discipline des personnes exerçant de manière habituelle des activités de transaction et de gestion immobilières</w:t>
      </w:r>
      <w:r w:rsidRPr="00874A27">
        <w:rPr>
          <w:rFonts w:ascii="Arial" w:eastAsia="Times New Roman" w:hAnsi="Arial" w:cs="Arial"/>
          <w:color w:val="000000"/>
          <w:sz w:val="19"/>
          <w:szCs w:val="19"/>
          <w:lang w:eastAsia="fr-FR"/>
        </w:rPr>
        <w:br/>
        <w:t>« Art. 13-4. - Tout manquement aux lois, aux règlements et aux obligations fixées par le code de déontologie mentionné à l'article 13-1 ou toute négligence grave, commis par une personne mentionnée à l'article 1er dans l'exercice de ses activités, l'expose à des poursuites disciplinaires.</w:t>
      </w:r>
      <w:r w:rsidRPr="00874A27">
        <w:rPr>
          <w:rFonts w:ascii="Arial" w:eastAsia="Times New Roman" w:hAnsi="Arial" w:cs="Arial"/>
          <w:color w:val="000000"/>
          <w:sz w:val="19"/>
          <w:szCs w:val="19"/>
          <w:lang w:eastAsia="fr-FR"/>
        </w:rPr>
        <w:br/>
        <w:t>« La cessation des activités des personnes mentionnées au premier alinéa ne fait pas obstacle aux poursuites disciplinaires pour des faits commis pendant l'exercice de leurs fonctions.</w:t>
      </w:r>
      <w:r w:rsidRPr="00874A27">
        <w:rPr>
          <w:rFonts w:ascii="Arial" w:eastAsia="Times New Roman" w:hAnsi="Arial" w:cs="Arial"/>
          <w:color w:val="000000"/>
          <w:sz w:val="19"/>
          <w:szCs w:val="19"/>
          <w:lang w:eastAsia="fr-FR"/>
        </w:rPr>
        <w:br/>
        <w:t>« L'action disciplinaire se prescrit par cinq ans à compter de la commission des faits.</w:t>
      </w:r>
      <w:r w:rsidRPr="00874A27">
        <w:rPr>
          <w:rFonts w:ascii="Arial" w:eastAsia="Times New Roman" w:hAnsi="Arial" w:cs="Arial"/>
          <w:color w:val="000000"/>
          <w:sz w:val="19"/>
          <w:szCs w:val="19"/>
          <w:lang w:eastAsia="fr-FR"/>
        </w:rPr>
        <w:br/>
        <w:t>« Art. 13-5. - Il est créé une commission de contrôle des activités de transaction et de gestion immobilières, qui connaît de l'action disciplinaire exercée à raison de faits commis dans son ressort par les personnes mentionnées à l'article 1er.</w:t>
      </w:r>
      <w:r w:rsidRPr="00874A27">
        <w:rPr>
          <w:rFonts w:ascii="Arial" w:eastAsia="Times New Roman" w:hAnsi="Arial" w:cs="Arial"/>
          <w:color w:val="000000"/>
          <w:sz w:val="19"/>
          <w:szCs w:val="19"/>
          <w:lang w:eastAsia="fr-FR"/>
        </w:rPr>
        <w:br/>
        <w:t>« Art. 13-6. - La commission de contrôle des activités de transaction et de gestion immobilières comprend :</w:t>
      </w:r>
      <w:r w:rsidRPr="00874A27">
        <w:rPr>
          <w:rFonts w:ascii="Arial" w:eastAsia="Times New Roman" w:hAnsi="Arial" w:cs="Arial"/>
          <w:color w:val="000000"/>
          <w:sz w:val="19"/>
          <w:szCs w:val="19"/>
          <w:lang w:eastAsia="fr-FR"/>
        </w:rPr>
        <w:br/>
        <w:t>« 1° Des représentants de l'Etat, désignés conjointement par le garde des sceaux, ministre de la justice, et par le ministre chargé du logement ;</w:t>
      </w:r>
      <w:r w:rsidRPr="00874A27">
        <w:rPr>
          <w:rFonts w:ascii="Arial" w:eastAsia="Times New Roman" w:hAnsi="Arial" w:cs="Arial"/>
          <w:color w:val="000000"/>
          <w:sz w:val="19"/>
          <w:szCs w:val="19"/>
          <w:lang w:eastAsia="fr-FR"/>
        </w:rPr>
        <w:br/>
        <w:t>« 2° Un magistrat de l'ordre judiciaire ;</w:t>
      </w:r>
      <w:r w:rsidRPr="00874A27">
        <w:rPr>
          <w:rFonts w:ascii="Arial" w:eastAsia="Times New Roman" w:hAnsi="Arial" w:cs="Arial"/>
          <w:color w:val="000000"/>
          <w:sz w:val="19"/>
          <w:szCs w:val="19"/>
          <w:lang w:eastAsia="fr-FR"/>
        </w:rPr>
        <w:br/>
        <w:t>« 3° Des membres d'une profession juridique ou judiciaire qualifiés dans le domaine de l'immobilier ;</w:t>
      </w:r>
      <w:r w:rsidRPr="00874A27">
        <w:rPr>
          <w:rFonts w:ascii="Arial" w:eastAsia="Times New Roman" w:hAnsi="Arial" w:cs="Arial"/>
          <w:color w:val="000000"/>
          <w:sz w:val="19"/>
          <w:szCs w:val="19"/>
          <w:lang w:eastAsia="fr-FR"/>
        </w:rPr>
        <w:br/>
        <w:t>« 4° Des personnes ayant cessé d'exercer les activités mentionnées à l'article 1er ;</w:t>
      </w:r>
      <w:r w:rsidRPr="00874A27">
        <w:rPr>
          <w:rFonts w:ascii="Arial" w:eastAsia="Times New Roman" w:hAnsi="Arial" w:cs="Arial"/>
          <w:color w:val="000000"/>
          <w:sz w:val="19"/>
          <w:szCs w:val="19"/>
          <w:lang w:eastAsia="fr-FR"/>
        </w:rPr>
        <w:br/>
        <w:t>« 5° Des personnes représentant les cocontractants des personnes mentionnées à l'article 1er dans l'exercice des opérations citées au même article.</w:t>
      </w:r>
      <w:r w:rsidRPr="00874A27">
        <w:rPr>
          <w:rFonts w:ascii="Arial" w:eastAsia="Times New Roman" w:hAnsi="Arial" w:cs="Arial"/>
          <w:color w:val="000000"/>
          <w:sz w:val="19"/>
          <w:szCs w:val="19"/>
          <w:lang w:eastAsia="fr-FR"/>
        </w:rPr>
        <w:br/>
        <w:t>« Le président de la commission de contrôle est désigné conjointement par le garde des sceaux, ministre de la justice, et par le ministre chargé du logement, parmi les représentants de l'Etat mentionnés au 1°.</w:t>
      </w:r>
      <w:r w:rsidRPr="00874A27">
        <w:rPr>
          <w:rFonts w:ascii="Arial" w:eastAsia="Times New Roman" w:hAnsi="Arial" w:cs="Arial"/>
          <w:color w:val="000000"/>
          <w:sz w:val="19"/>
          <w:szCs w:val="19"/>
          <w:lang w:eastAsia="fr-FR"/>
        </w:rPr>
        <w:br/>
        <w:t>« La commission comporte des sections spécialisées dédiées à une ou plusieurs activités mentionnées à l'article 1er. Ces sections spécialisées instruisent les dossiers et formulent des avis.</w:t>
      </w:r>
      <w:r w:rsidRPr="00874A27">
        <w:rPr>
          <w:rFonts w:ascii="Arial" w:eastAsia="Times New Roman" w:hAnsi="Arial" w:cs="Arial"/>
          <w:color w:val="000000"/>
          <w:sz w:val="19"/>
          <w:szCs w:val="19"/>
          <w:lang w:eastAsia="fr-FR"/>
        </w:rPr>
        <w:br/>
        <w:t>« Les modalités de fonctionnement, de désignation des membres, de saisine et d'organisation de la commission et des sections spécialisées ainsi que la composition de ces dernières sont fixées par décret en Conseil d'Etat.</w:t>
      </w:r>
      <w:r w:rsidRPr="00874A27">
        <w:rPr>
          <w:rFonts w:ascii="Arial" w:eastAsia="Times New Roman" w:hAnsi="Arial" w:cs="Arial"/>
          <w:color w:val="000000"/>
          <w:sz w:val="19"/>
          <w:szCs w:val="19"/>
          <w:lang w:eastAsia="fr-FR"/>
        </w:rPr>
        <w:br/>
        <w:t>« Art. 13-7. - La commission statue par décision motivée, dans des conditions définies par décret en Conseil d'Etat. Avant toute décision, la commission informe la personne mise en cause de la sanction envisagée à son encontre, en lui indiquant qu'elle peut prendre connaissance des pièces du dossier et se faire assister par le conseil de son choix et en l'invitant à présenter, dans le délai de soixante jours, ses observations écrites ou orales.</w:t>
      </w:r>
      <w:r w:rsidRPr="00874A27">
        <w:rPr>
          <w:rFonts w:ascii="Arial" w:eastAsia="Times New Roman" w:hAnsi="Arial" w:cs="Arial"/>
          <w:color w:val="000000"/>
          <w:sz w:val="19"/>
          <w:szCs w:val="19"/>
          <w:lang w:eastAsia="fr-FR"/>
        </w:rPr>
        <w:br/>
        <w:t>« Art. 13-8. - Les sanctions disciplinaires sont, compte tenu de la gravité des faits reprochés :</w:t>
      </w:r>
      <w:r w:rsidRPr="00874A27">
        <w:rPr>
          <w:rFonts w:ascii="Arial" w:eastAsia="Times New Roman" w:hAnsi="Arial" w:cs="Arial"/>
          <w:color w:val="000000"/>
          <w:sz w:val="19"/>
          <w:szCs w:val="19"/>
          <w:lang w:eastAsia="fr-FR"/>
        </w:rPr>
        <w:br/>
        <w:t>« 1° L'avertissement ;</w:t>
      </w:r>
      <w:r w:rsidRPr="00874A27">
        <w:rPr>
          <w:rFonts w:ascii="Arial" w:eastAsia="Times New Roman" w:hAnsi="Arial" w:cs="Arial"/>
          <w:color w:val="000000"/>
          <w:sz w:val="19"/>
          <w:szCs w:val="19"/>
          <w:lang w:eastAsia="fr-FR"/>
        </w:rPr>
        <w:br/>
        <w:t>« 2° Le blâme ;</w:t>
      </w:r>
      <w:r w:rsidRPr="00874A27">
        <w:rPr>
          <w:rFonts w:ascii="Arial" w:eastAsia="Times New Roman" w:hAnsi="Arial" w:cs="Arial"/>
          <w:color w:val="000000"/>
          <w:sz w:val="19"/>
          <w:szCs w:val="19"/>
          <w:lang w:eastAsia="fr-FR"/>
        </w:rPr>
        <w:br/>
        <w:t>« 3° L'interdiction temporaire d'exercer tout ou partie des activités mentionnées à l'article 1er, pour une durée n'excédant pas trois ans ;</w:t>
      </w:r>
      <w:r w:rsidRPr="00874A27">
        <w:rPr>
          <w:rFonts w:ascii="Arial" w:eastAsia="Times New Roman" w:hAnsi="Arial" w:cs="Arial"/>
          <w:color w:val="000000"/>
          <w:sz w:val="19"/>
          <w:szCs w:val="19"/>
          <w:lang w:eastAsia="fr-FR"/>
        </w:rPr>
        <w:br/>
        <w:t>« 4° L'interdiction définitive d'exercer tout ou partie des activités mentionnées au même article 1er.</w:t>
      </w:r>
      <w:r w:rsidRPr="00874A27">
        <w:rPr>
          <w:rFonts w:ascii="Arial" w:eastAsia="Times New Roman" w:hAnsi="Arial" w:cs="Arial"/>
          <w:color w:val="000000"/>
          <w:sz w:val="19"/>
          <w:szCs w:val="19"/>
          <w:lang w:eastAsia="fr-FR"/>
        </w:rPr>
        <w:br/>
        <w:t xml:space="preserve">« En cas d'urgence, et à titre conservatoire, le président de la commission peut prononcer la suspension provisoire de l'exercice de tout ou partie des activités d'une personne mentionnée audit article 1er. Le président en informe sans délai la commission. Cette mesure peut être ordonnée pour </w:t>
      </w:r>
      <w:r w:rsidRPr="00874A27">
        <w:rPr>
          <w:rFonts w:ascii="Arial" w:eastAsia="Times New Roman" w:hAnsi="Arial" w:cs="Arial"/>
          <w:color w:val="000000"/>
          <w:sz w:val="19"/>
          <w:szCs w:val="19"/>
          <w:lang w:eastAsia="fr-FR"/>
        </w:rPr>
        <w:lastRenderedPageBreak/>
        <w:t>une durée qui ne peut excéder un mois, sauf prolongation décidée par la commission pour une durée qui ne peut excéder trois mois. La suspension ne peut être prononcée sans que les griefs aient été communiqués à la personne, qu'elle ait été mise à même de prendre connaissance du dossier et qu'elle ait été entendue ou dûment appelée par le président de la commission.</w:t>
      </w:r>
      <w:r w:rsidRPr="00874A27">
        <w:rPr>
          <w:rFonts w:ascii="Arial" w:eastAsia="Times New Roman" w:hAnsi="Arial" w:cs="Arial"/>
          <w:color w:val="000000"/>
          <w:sz w:val="19"/>
          <w:szCs w:val="19"/>
          <w:lang w:eastAsia="fr-FR"/>
        </w:rPr>
        <w:br/>
        <w:t>« L'interdiction temporaire et l'interdiction définitive peuvent être assorties du sursis. Si, dans le délai de cinq ans à compter du prononcé de la sanction disciplinaire, la personne sanctionnée a commis une infraction ou une faute ayant entraîné le prononcé d'une nouvelle sanction disciplinaire, celle-ci entraîne, sauf décision motivée de la part de la commission mentionnée à l'article 13-5, l'exécution de la première peine sans confusion possible avec la seconde.</w:t>
      </w:r>
      <w:r w:rsidRPr="00874A27">
        <w:rPr>
          <w:rFonts w:ascii="Arial" w:eastAsia="Times New Roman" w:hAnsi="Arial" w:cs="Arial"/>
          <w:color w:val="000000"/>
          <w:sz w:val="19"/>
          <w:szCs w:val="19"/>
          <w:lang w:eastAsia="fr-FR"/>
        </w:rPr>
        <w:br/>
        <w:t>« L'avertissement, le blâme et l'interdiction temporaire peuvent être assortis de la sanction complémentaire de l'interdiction d'être membre de la commission de contrôle pendant dix ans au plus.</w:t>
      </w:r>
      <w:r w:rsidRPr="00874A27">
        <w:rPr>
          <w:rFonts w:ascii="Arial" w:eastAsia="Times New Roman" w:hAnsi="Arial" w:cs="Arial"/>
          <w:color w:val="000000"/>
          <w:sz w:val="19"/>
          <w:szCs w:val="19"/>
          <w:lang w:eastAsia="fr-FR"/>
        </w:rPr>
        <w:br/>
        <w:t>« L'avertissement et le blâme peuvent être accompagnés, pendant un délai d'un an, de mesures de contrôle et de formation soumettant la personne sanctionnée à des obligations particulières fixées dans la décision de la commission. Ces mesures peuvent également être prescrites par la commission lorsque la personne ayant fait l'objet d'une interdiction temporaire reprend ses fonctions. Le coût de ces mesures est supporté par la personne sanctionnée, qui ne peut le mettre à la charge de son mandant.</w:t>
      </w:r>
      <w:r w:rsidRPr="00874A27">
        <w:rPr>
          <w:rFonts w:ascii="Arial" w:eastAsia="Times New Roman" w:hAnsi="Arial" w:cs="Arial"/>
          <w:color w:val="000000"/>
          <w:sz w:val="19"/>
          <w:szCs w:val="19"/>
          <w:lang w:eastAsia="fr-FR"/>
        </w:rPr>
        <w:br/>
        <w:t>« Lorsqu'elle prononce une sanction disciplinaire, la commission peut décider de mettre à la charge de la personne sanctionnée tout ou partie des frais occasionnés par l'action disciplinaire.</w:t>
      </w:r>
      <w:r w:rsidRPr="00874A27">
        <w:rPr>
          <w:rFonts w:ascii="Arial" w:eastAsia="Times New Roman" w:hAnsi="Arial" w:cs="Arial"/>
          <w:color w:val="000000"/>
          <w:sz w:val="19"/>
          <w:szCs w:val="19"/>
          <w:lang w:eastAsia="fr-FR"/>
        </w:rPr>
        <w:br/>
        <w:t>« La commission communique ses décisions devenues définitives à la chambre de commerce et d'industrie territoriale ou à la chambre départementale d'Ile-de-France ayant délivré la carte professionnelle de l'intéressé ou auprès de laquelle la déclaration préalable d'activité prévue à l'article 8-1 a été effectuée.</w:t>
      </w:r>
      <w:r w:rsidRPr="00874A27">
        <w:rPr>
          <w:rFonts w:ascii="Arial" w:eastAsia="Times New Roman" w:hAnsi="Arial" w:cs="Arial"/>
          <w:color w:val="000000"/>
          <w:sz w:val="19"/>
          <w:szCs w:val="19"/>
          <w:lang w:eastAsia="fr-FR"/>
        </w:rPr>
        <w:br/>
        <w:t>« Elle peut publier ses décisions dans les journaux ou supports qu'elle détermine. Les frais de publication sont à la charge de la personne sanctionnée.</w:t>
      </w:r>
      <w:r w:rsidRPr="00874A27">
        <w:rPr>
          <w:rFonts w:ascii="Arial" w:eastAsia="Times New Roman" w:hAnsi="Arial" w:cs="Arial"/>
          <w:color w:val="000000"/>
          <w:sz w:val="19"/>
          <w:szCs w:val="19"/>
          <w:lang w:eastAsia="fr-FR"/>
        </w:rPr>
        <w:br/>
        <w:t>« Art. 13-9. - Les décisions de la commission de contrôle des activités de transaction et de gestion immobilières et de son président sont susceptibles de recours de pleine juridiction devant la juridiction administrative.</w:t>
      </w:r>
      <w:r w:rsidRPr="00874A27">
        <w:rPr>
          <w:rFonts w:ascii="Arial" w:eastAsia="Times New Roman" w:hAnsi="Arial" w:cs="Arial"/>
          <w:color w:val="000000"/>
          <w:sz w:val="19"/>
          <w:szCs w:val="19"/>
          <w:lang w:eastAsia="fr-FR"/>
        </w:rPr>
        <w:br/>
        <w:t>« Art. 13-10. - La commission de contrôle des activités de transaction et de gestion immobilières crée et tient à jour un répertoire des personnes sanctionnées, avec l'indication des sanctions devenues définitives.</w:t>
      </w:r>
      <w:r w:rsidRPr="00874A27">
        <w:rPr>
          <w:rFonts w:ascii="Arial" w:eastAsia="Times New Roman" w:hAnsi="Arial" w:cs="Arial"/>
          <w:color w:val="000000"/>
          <w:sz w:val="19"/>
          <w:szCs w:val="19"/>
          <w:lang w:eastAsia="fr-FR"/>
        </w:rPr>
        <w:br/>
        <w:t>« Les modalités et le fonctionnement du répertoire sont déterminés par décret en Conseil d'Etat, pris après avis de la Commission nationale de l'informatique et des libertés. »</w:t>
      </w:r>
      <w:r w:rsidRPr="00874A27">
        <w:rPr>
          <w:rFonts w:ascii="Arial" w:eastAsia="Times New Roman" w:hAnsi="Arial" w:cs="Arial"/>
          <w:color w:val="000000"/>
          <w:sz w:val="19"/>
          <w:szCs w:val="19"/>
          <w:lang w:eastAsia="fr-FR"/>
        </w:rPr>
        <w:br/>
        <w:t>III. ― Le titre III de la même loi est ainsi modifié :</w:t>
      </w:r>
      <w:r w:rsidRPr="00874A27">
        <w:rPr>
          <w:rFonts w:ascii="Arial" w:eastAsia="Times New Roman" w:hAnsi="Arial" w:cs="Arial"/>
          <w:color w:val="000000"/>
          <w:sz w:val="19"/>
          <w:szCs w:val="19"/>
          <w:lang w:eastAsia="fr-FR"/>
        </w:rPr>
        <w:br/>
        <w:t>1° L'intitulé est complété par les mots : « et administratives » ;</w:t>
      </w:r>
      <w:r w:rsidRPr="00874A27">
        <w:rPr>
          <w:rFonts w:ascii="Arial" w:eastAsia="Times New Roman" w:hAnsi="Arial" w:cs="Arial"/>
          <w:color w:val="000000"/>
          <w:sz w:val="19"/>
          <w:szCs w:val="19"/>
          <w:lang w:eastAsia="fr-FR"/>
        </w:rPr>
        <w:br/>
        <w:t>2° L'article 14 est ainsi modifié :</w:t>
      </w:r>
      <w:r w:rsidRPr="00874A27">
        <w:rPr>
          <w:rFonts w:ascii="Arial" w:eastAsia="Times New Roman" w:hAnsi="Arial" w:cs="Arial"/>
          <w:color w:val="000000"/>
          <w:sz w:val="19"/>
          <w:szCs w:val="19"/>
          <w:lang w:eastAsia="fr-FR"/>
        </w:rPr>
        <w:br/>
        <w:t>a) Après le a, il est inséré un a bis ainsi rédigé :</w:t>
      </w:r>
      <w:r w:rsidRPr="00874A27">
        <w:rPr>
          <w:rFonts w:ascii="Arial" w:eastAsia="Times New Roman" w:hAnsi="Arial" w:cs="Arial"/>
          <w:color w:val="000000"/>
          <w:sz w:val="19"/>
          <w:szCs w:val="19"/>
          <w:lang w:eastAsia="fr-FR"/>
        </w:rPr>
        <w:br/>
        <w:t>« a bis) De se livrer ou de prêter son concours, d'une manière habituelle, même à titre accessoire, à des opérations mentionnées à l'article 1er en méconnaissance d'une interdiction définitive ou temporaire d'exercer, prononcée en application de l'article 13-8, et devenue définitive ; »</w:t>
      </w:r>
      <w:r w:rsidRPr="00874A27">
        <w:rPr>
          <w:rFonts w:ascii="Arial" w:eastAsia="Times New Roman" w:hAnsi="Arial" w:cs="Arial"/>
          <w:color w:val="000000"/>
          <w:sz w:val="19"/>
          <w:szCs w:val="19"/>
          <w:lang w:eastAsia="fr-FR"/>
        </w:rPr>
        <w:br/>
        <w:t>b) Au b, le mot : « dixième » est remplacé par le mot : « onzième » ;</w:t>
      </w:r>
      <w:r w:rsidRPr="00874A27">
        <w:rPr>
          <w:rFonts w:ascii="Arial" w:eastAsia="Times New Roman" w:hAnsi="Arial" w:cs="Arial"/>
          <w:color w:val="000000"/>
          <w:sz w:val="19"/>
          <w:szCs w:val="19"/>
          <w:lang w:eastAsia="fr-FR"/>
        </w:rPr>
        <w:br/>
        <w:t>c) Après le c, il est inséré un d ainsi rédigé :</w:t>
      </w:r>
      <w:r w:rsidRPr="00874A27">
        <w:rPr>
          <w:rFonts w:ascii="Arial" w:eastAsia="Times New Roman" w:hAnsi="Arial" w:cs="Arial"/>
          <w:color w:val="000000"/>
          <w:sz w:val="19"/>
          <w:szCs w:val="19"/>
          <w:lang w:eastAsia="fr-FR"/>
        </w:rPr>
        <w:br/>
        <w:t>« d) Pour toute personne mentionnée à l'article 1er, de ne pas délivrer à ses clients les informations prévues à l'article 4-1. » ;</w:t>
      </w:r>
      <w:r w:rsidRPr="00874A27">
        <w:rPr>
          <w:rFonts w:ascii="Arial" w:eastAsia="Times New Roman" w:hAnsi="Arial" w:cs="Arial"/>
          <w:color w:val="000000"/>
          <w:sz w:val="19"/>
          <w:szCs w:val="19"/>
          <w:lang w:eastAsia="fr-FR"/>
        </w:rPr>
        <w:br/>
        <w:t>3° Après l'article 17, sont insérés des articles 17-1 et 17-2 ainsi rédigés :</w:t>
      </w:r>
      <w:r w:rsidRPr="00874A27">
        <w:rPr>
          <w:rFonts w:ascii="Arial" w:eastAsia="Times New Roman" w:hAnsi="Arial" w:cs="Arial"/>
          <w:color w:val="000000"/>
          <w:sz w:val="19"/>
          <w:szCs w:val="19"/>
          <w:lang w:eastAsia="fr-FR"/>
        </w:rPr>
        <w:br/>
        <w:t>« Art. 17-1. - Est sanctionné par une amende administrative, prononcée par l'autorité administrative chargée de la concurrence et de la consommation, dont le montant ne peut excéder 15 000 € pour une personne physique et 75 000 € pour une personne morale, selon les modalités et la procédure prévues au </w:t>
      </w:r>
      <w:hyperlink r:id="rId135" w:history="1">
        <w:r w:rsidRPr="00874A27">
          <w:rPr>
            <w:rFonts w:ascii="Arial" w:eastAsia="Times New Roman" w:hAnsi="Arial" w:cs="Arial"/>
            <w:color w:val="336699"/>
            <w:sz w:val="19"/>
            <w:szCs w:val="19"/>
            <w:u w:val="single"/>
            <w:lang w:eastAsia="fr-FR"/>
          </w:rPr>
          <w:t>VIII de l'article L. 141-1 du code de la consommation</w:t>
        </w:r>
      </w:hyperlink>
      <w:r w:rsidRPr="00874A27">
        <w:rPr>
          <w:rFonts w:ascii="Arial" w:eastAsia="Times New Roman" w:hAnsi="Arial" w:cs="Arial"/>
          <w:color w:val="000000"/>
          <w:sz w:val="19"/>
          <w:szCs w:val="19"/>
          <w:lang w:eastAsia="fr-FR"/>
        </w:rPr>
        <w:t>, le fait, pour une personne mentionnée à l'article 1er de la présente loi et exerçant l'activité mentionnée au 1° de ce même article, de mettre en location aux fins d'habitation des locaux frappés d'un arrêté d'insalubrité pris en application des articles </w:t>
      </w:r>
      <w:hyperlink r:id="rId136" w:history="1">
        <w:r w:rsidRPr="00874A27">
          <w:rPr>
            <w:rFonts w:ascii="Arial" w:eastAsia="Times New Roman" w:hAnsi="Arial" w:cs="Arial"/>
            <w:color w:val="336699"/>
            <w:sz w:val="19"/>
            <w:szCs w:val="19"/>
            <w:u w:val="single"/>
            <w:lang w:eastAsia="fr-FR"/>
          </w:rPr>
          <w:t>L. 1331-22</w:t>
        </w:r>
      </w:hyperlink>
      <w:r w:rsidRPr="00874A27">
        <w:rPr>
          <w:rFonts w:ascii="Arial" w:eastAsia="Times New Roman" w:hAnsi="Arial" w:cs="Arial"/>
          <w:color w:val="000000"/>
          <w:sz w:val="19"/>
          <w:szCs w:val="19"/>
          <w:lang w:eastAsia="fr-FR"/>
        </w:rPr>
        <w:t>, </w:t>
      </w:r>
      <w:hyperlink r:id="rId137" w:history="1">
        <w:r w:rsidRPr="00874A27">
          <w:rPr>
            <w:rFonts w:ascii="Arial" w:eastAsia="Times New Roman" w:hAnsi="Arial" w:cs="Arial"/>
            <w:color w:val="336699"/>
            <w:sz w:val="19"/>
            <w:szCs w:val="19"/>
            <w:u w:val="single"/>
            <w:lang w:eastAsia="fr-FR"/>
          </w:rPr>
          <w:t>L. 1331-25</w:t>
        </w:r>
      </w:hyperlink>
      <w:r w:rsidRPr="00874A27">
        <w:rPr>
          <w:rFonts w:ascii="Arial" w:eastAsia="Times New Roman" w:hAnsi="Arial" w:cs="Arial"/>
          <w:color w:val="000000"/>
          <w:sz w:val="19"/>
          <w:szCs w:val="19"/>
          <w:lang w:eastAsia="fr-FR"/>
        </w:rPr>
        <w:t>, </w:t>
      </w:r>
      <w:hyperlink r:id="rId138" w:history="1">
        <w:r w:rsidRPr="00874A27">
          <w:rPr>
            <w:rFonts w:ascii="Arial" w:eastAsia="Times New Roman" w:hAnsi="Arial" w:cs="Arial"/>
            <w:color w:val="336699"/>
            <w:sz w:val="19"/>
            <w:szCs w:val="19"/>
            <w:u w:val="single"/>
            <w:lang w:eastAsia="fr-FR"/>
          </w:rPr>
          <w:t>L. 1331-26-1</w:t>
        </w:r>
      </w:hyperlink>
      <w:r w:rsidRPr="00874A27">
        <w:rPr>
          <w:rFonts w:ascii="Arial" w:eastAsia="Times New Roman" w:hAnsi="Arial" w:cs="Arial"/>
          <w:color w:val="000000"/>
          <w:sz w:val="19"/>
          <w:szCs w:val="19"/>
          <w:lang w:eastAsia="fr-FR"/>
        </w:rPr>
        <w:t> ou </w:t>
      </w:r>
      <w:hyperlink r:id="rId139" w:history="1">
        <w:r w:rsidRPr="00874A27">
          <w:rPr>
            <w:rFonts w:ascii="Arial" w:eastAsia="Times New Roman" w:hAnsi="Arial" w:cs="Arial"/>
            <w:color w:val="336699"/>
            <w:sz w:val="19"/>
            <w:szCs w:val="19"/>
            <w:u w:val="single"/>
            <w:lang w:eastAsia="fr-FR"/>
          </w:rPr>
          <w:t>L. 1331-28</w:t>
        </w:r>
      </w:hyperlink>
      <w:r w:rsidRPr="00874A27">
        <w:rPr>
          <w:rFonts w:ascii="Arial" w:eastAsia="Times New Roman" w:hAnsi="Arial" w:cs="Arial"/>
          <w:color w:val="000000"/>
          <w:sz w:val="19"/>
          <w:szCs w:val="19"/>
          <w:lang w:eastAsia="fr-FR"/>
        </w:rPr>
        <w:t> du code de la santé publique ou d'un arrêté de péril pris en application des </w:t>
      </w:r>
      <w:hyperlink r:id="rId140" w:history="1">
        <w:r w:rsidRPr="00874A27">
          <w:rPr>
            <w:rFonts w:ascii="Arial" w:eastAsia="Times New Roman" w:hAnsi="Arial" w:cs="Arial"/>
            <w:color w:val="336699"/>
            <w:sz w:val="19"/>
            <w:szCs w:val="19"/>
            <w:u w:val="single"/>
            <w:lang w:eastAsia="fr-FR"/>
          </w:rPr>
          <w:t>articles L. 511-1 et suivants du code de la construction et de l'habitation</w:t>
        </w:r>
      </w:hyperlink>
      <w:r w:rsidRPr="00874A27">
        <w:rPr>
          <w:rFonts w:ascii="Arial" w:eastAsia="Times New Roman" w:hAnsi="Arial" w:cs="Arial"/>
          <w:color w:val="000000"/>
          <w:sz w:val="19"/>
          <w:szCs w:val="19"/>
          <w:lang w:eastAsia="fr-FR"/>
        </w:rPr>
        <w:t>. Le représentant de l'Etat dans le département ou le maire transmet à l'autorité administrative chargée de la concurrence et de la consommation, à sa demande, les mesures de police arrêtées permettant de caractériser l'infraction.</w:t>
      </w:r>
      <w:r w:rsidRPr="00874A27">
        <w:rPr>
          <w:rFonts w:ascii="Arial" w:eastAsia="Times New Roman" w:hAnsi="Arial" w:cs="Arial"/>
          <w:color w:val="000000"/>
          <w:sz w:val="19"/>
          <w:szCs w:val="19"/>
          <w:lang w:eastAsia="fr-FR"/>
        </w:rPr>
        <w:br/>
        <w:t>« Art. 17-2. - Est puni de la peine d'amende prévue au </w:t>
      </w:r>
      <w:hyperlink r:id="rId141" w:history="1">
        <w:r w:rsidRPr="00874A27">
          <w:rPr>
            <w:rFonts w:ascii="Arial" w:eastAsia="Times New Roman" w:hAnsi="Arial" w:cs="Arial"/>
            <w:color w:val="336699"/>
            <w:sz w:val="19"/>
            <w:szCs w:val="19"/>
            <w:u w:val="single"/>
            <w:lang w:eastAsia="fr-FR"/>
          </w:rPr>
          <w:t>5° de l'article 131-13 du code pénal</w:t>
        </w:r>
      </w:hyperlink>
      <w:r w:rsidRPr="00874A27">
        <w:rPr>
          <w:rFonts w:ascii="Arial" w:eastAsia="Times New Roman" w:hAnsi="Arial" w:cs="Arial"/>
          <w:color w:val="000000"/>
          <w:sz w:val="19"/>
          <w:szCs w:val="19"/>
          <w:lang w:eastAsia="fr-FR"/>
        </w:rPr>
        <w:t> le fait, pour une personne mentionnée à l'article 1er de la présente loi, d'effectuer une publicité en violation de l'article 6-1.</w:t>
      </w:r>
      <w:r w:rsidRPr="00874A27">
        <w:rPr>
          <w:rFonts w:ascii="Arial" w:eastAsia="Times New Roman" w:hAnsi="Arial" w:cs="Arial"/>
          <w:color w:val="000000"/>
          <w:sz w:val="19"/>
          <w:szCs w:val="19"/>
          <w:lang w:eastAsia="fr-FR"/>
        </w:rPr>
        <w:br/>
        <w:t>« Sont punis de la même peine d'amende le fait, pour un agent commercial, d'effectuer une publicité en violation de l'article 6-2 ainsi que le fait de ne pas respecter l'obligation de mentionner le statut d'agent commercial prévue au même article. »</w:t>
      </w:r>
      <w:r w:rsidRPr="00874A27">
        <w:rPr>
          <w:rFonts w:ascii="Arial" w:eastAsia="Times New Roman" w:hAnsi="Arial" w:cs="Arial"/>
          <w:color w:val="000000"/>
          <w:sz w:val="19"/>
          <w:szCs w:val="19"/>
          <w:lang w:eastAsia="fr-FR"/>
        </w:rPr>
        <w:br/>
        <w:t>IV. - Au </w:t>
      </w:r>
      <w:hyperlink r:id="rId142" w:history="1">
        <w:r w:rsidRPr="00874A27">
          <w:rPr>
            <w:rFonts w:ascii="Arial" w:eastAsia="Times New Roman" w:hAnsi="Arial" w:cs="Arial"/>
            <w:color w:val="336699"/>
            <w:sz w:val="19"/>
            <w:szCs w:val="19"/>
            <w:u w:val="single"/>
            <w:lang w:eastAsia="fr-FR"/>
          </w:rPr>
          <w:t>11° de l'article L. 241-3 du code de la construction et de l'habitation</w:t>
        </w:r>
      </w:hyperlink>
      <w:r w:rsidRPr="00874A27">
        <w:rPr>
          <w:rFonts w:ascii="Arial" w:eastAsia="Times New Roman" w:hAnsi="Arial" w:cs="Arial"/>
          <w:color w:val="000000"/>
          <w:sz w:val="19"/>
          <w:szCs w:val="19"/>
          <w:lang w:eastAsia="fr-FR"/>
        </w:rPr>
        <w:t>, après la seconde occurrence du mot : « par », est insérée la référence : « le a bis de l'article 14 et ».</w:t>
      </w:r>
      <w:r w:rsidRPr="00874A27">
        <w:rPr>
          <w:rFonts w:ascii="Arial" w:eastAsia="Times New Roman" w:hAnsi="Arial" w:cs="Arial"/>
          <w:color w:val="000000"/>
          <w:sz w:val="19"/>
          <w:szCs w:val="19"/>
          <w:lang w:eastAsia="fr-FR"/>
        </w:rPr>
        <w:br/>
        <w:t xml:space="preserve">V. - Au 8° de l'article L. 561-2 du code monétaire et financier, la référence : « et 8° » est remplacée par </w:t>
      </w:r>
      <w:r w:rsidRPr="00874A27">
        <w:rPr>
          <w:rFonts w:ascii="Arial" w:eastAsia="Times New Roman" w:hAnsi="Arial" w:cs="Arial"/>
          <w:color w:val="000000"/>
          <w:sz w:val="19"/>
          <w:szCs w:val="19"/>
          <w:lang w:eastAsia="fr-FR"/>
        </w:rPr>
        <w:lastRenderedPageBreak/>
        <w:t>les références : « , 8° et 9° ».</w:t>
      </w:r>
      <w:r w:rsidRPr="00874A27">
        <w:rPr>
          <w:rFonts w:ascii="Arial" w:eastAsia="Times New Roman" w:hAnsi="Arial" w:cs="Arial"/>
          <w:color w:val="000000"/>
          <w:sz w:val="19"/>
          <w:szCs w:val="19"/>
          <w:lang w:eastAsia="fr-FR"/>
        </w:rPr>
        <w:br/>
        <w:t>VI. - Le I du présent article ne s'applique qu'aux contrats conclus à compter de l'entrée en vigueur de la présente loi.</w:t>
      </w:r>
      <w:r w:rsidRPr="00874A27">
        <w:rPr>
          <w:rFonts w:ascii="Arial" w:eastAsia="Times New Roman" w:hAnsi="Arial" w:cs="Arial"/>
          <w:color w:val="000000"/>
          <w:sz w:val="19"/>
          <w:szCs w:val="19"/>
          <w:lang w:eastAsia="fr-FR"/>
        </w:rPr>
        <w:br/>
        <w:t>VII. - Le a du 3° du I du présent article entre en vigueur à une date fixée par décret en Conseil d'Etat, et au plus tard le 1er juillet 2015.</w:t>
      </w:r>
      <w:r w:rsidRPr="00874A27">
        <w:rPr>
          <w:rFonts w:ascii="Arial" w:eastAsia="Times New Roman" w:hAnsi="Arial" w:cs="Arial"/>
          <w:color w:val="000000"/>
          <w:sz w:val="19"/>
          <w:szCs w:val="19"/>
          <w:lang w:eastAsia="fr-FR"/>
        </w:rPr>
        <w:br/>
        <w:t>VIII. - Les 7° et 8° du I du présent article entrent en vigueur le premier jour du quatrième mois suivant celui de la promulgation de la présente loi.</w:t>
      </w:r>
    </w:p>
    <w:p w:rsidR="00874A27" w:rsidRPr="00874A27" w:rsidRDefault="00874A27" w:rsidP="00874A27">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IV : Améliorer la prévention des expulsions</w:t>
      </w:r>
    </w:p>
    <w:p w:rsidR="00874A27" w:rsidRPr="00874A27" w:rsidRDefault="00874A27" w:rsidP="00874A27">
      <w:pPr>
        <w:numPr>
          <w:ilvl w:val="2"/>
          <w:numId w:val="1"/>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1 : Traiter les impayés le plus en amont possible</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24" w:name="JORFARTI000028773295"/>
      <w:bookmarkEnd w:id="24"/>
      <w:r w:rsidRPr="00874A27">
        <w:rPr>
          <w:rFonts w:ascii="Arial" w:eastAsia="Times New Roman" w:hAnsi="Arial" w:cs="Arial"/>
          <w:b/>
          <w:bCs/>
          <w:color w:val="000000"/>
          <w:sz w:val="23"/>
          <w:szCs w:val="23"/>
          <w:lang w:eastAsia="fr-FR"/>
        </w:rPr>
        <w:t>Article 25 </w:t>
      </w:r>
      <w:hyperlink r:id="rId143" w:tooltip="En savoir plus sur l'article 2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412-6 du code des procédures civiles d'exécution est ainsi modifié :</w:t>
      </w:r>
      <w:r w:rsidRPr="00874A27">
        <w:rPr>
          <w:rFonts w:ascii="Arial" w:eastAsia="Times New Roman" w:hAnsi="Arial" w:cs="Arial"/>
          <w:color w:val="000000"/>
          <w:sz w:val="19"/>
          <w:szCs w:val="19"/>
          <w:lang w:eastAsia="fr-FR"/>
        </w:rPr>
        <w:br/>
        <w:t>1° Au premier alinéa, la date : « 15 mars » est remplacée par la date : « 31 mars » ;</w:t>
      </w:r>
      <w:r w:rsidRPr="00874A27">
        <w:rPr>
          <w:rFonts w:ascii="Arial" w:eastAsia="Times New Roman" w:hAnsi="Arial" w:cs="Arial"/>
          <w:color w:val="000000"/>
          <w:sz w:val="19"/>
          <w:szCs w:val="19"/>
          <w:lang w:eastAsia="fr-FR"/>
        </w:rPr>
        <w:br/>
        <w:t>2° Le second alinéa est ainsi rédigé :</w:t>
      </w:r>
      <w:r w:rsidRPr="00874A27">
        <w:rPr>
          <w:rFonts w:ascii="Arial" w:eastAsia="Times New Roman" w:hAnsi="Arial" w:cs="Arial"/>
          <w:color w:val="000000"/>
          <w:sz w:val="19"/>
          <w:szCs w:val="19"/>
          <w:lang w:eastAsia="fr-FR"/>
        </w:rPr>
        <w:br/>
        <w:t>« Toutefois, le juge peut supprimer le bénéfice du sursis prévu au premier alinéa lorsque les personnes dont l'expulsion a été ordonnée sont entrées dans les locaux par voie de fait.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5" w:name="JORFARTI000028773298"/>
      <w:bookmarkEnd w:id="25"/>
      <w:r w:rsidRPr="00874A27">
        <w:rPr>
          <w:rFonts w:ascii="Arial" w:eastAsia="Times New Roman" w:hAnsi="Arial" w:cs="Arial"/>
          <w:b/>
          <w:bCs/>
          <w:color w:val="000000"/>
          <w:sz w:val="23"/>
          <w:szCs w:val="23"/>
          <w:lang w:eastAsia="fr-FR"/>
        </w:rPr>
        <w:t>Article 26 </w:t>
      </w:r>
      <w:hyperlink r:id="rId144" w:tooltip="En savoir plus sur l'article 2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l'article 226-4-1 du code pénal, il est inséré un article 226-4-2 ainsi rédigé :</w:t>
      </w:r>
      <w:r w:rsidRPr="00874A27">
        <w:rPr>
          <w:rFonts w:ascii="Arial" w:eastAsia="Times New Roman" w:hAnsi="Arial" w:cs="Arial"/>
          <w:color w:val="000000"/>
          <w:sz w:val="19"/>
          <w:szCs w:val="19"/>
          <w:lang w:eastAsia="fr-FR"/>
        </w:rPr>
        <w:br/>
        <w:t>« Art. 226-4-2. - Le fait de forcer un tiers à quitter le lieu qu'il habite sans avoir obtenu le concours de l'Etat dans les conditions prévues à l'article L. 153-1 du code des procédures civiles d'exécution, à l'aide de manœuvres, menaces, voies de fait ou contraintes, est puni de trois ans d'emprisonnement et de 30 000 € d'amende.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6" w:name="JORFARTI000028773301"/>
      <w:bookmarkEnd w:id="26"/>
      <w:r w:rsidRPr="00874A27">
        <w:rPr>
          <w:rFonts w:ascii="Arial" w:eastAsia="Times New Roman" w:hAnsi="Arial" w:cs="Arial"/>
          <w:b/>
          <w:bCs/>
          <w:color w:val="000000"/>
          <w:sz w:val="23"/>
          <w:szCs w:val="23"/>
          <w:lang w:eastAsia="fr-FR"/>
        </w:rPr>
        <w:t>Article 27 </w:t>
      </w:r>
      <w:hyperlink r:id="rId145" w:tooltip="En savoir plus sur l'article 2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I.-L'</w:t>
      </w:r>
      <w:hyperlink r:id="rId146" w:history="1">
        <w:r w:rsidRPr="00874A27">
          <w:rPr>
            <w:rFonts w:ascii="Arial" w:eastAsia="Times New Roman" w:hAnsi="Arial" w:cs="Arial"/>
            <w:color w:val="336699"/>
            <w:sz w:val="19"/>
            <w:szCs w:val="19"/>
            <w:u w:val="single"/>
            <w:lang w:eastAsia="fr-FR"/>
          </w:rPr>
          <w:t>article 24 de la loi n° 89-462 du 6 juillet 1989 </w:t>
        </w:r>
      </w:hyperlink>
      <w:r w:rsidRPr="00874A27">
        <w:rPr>
          <w:rFonts w:ascii="Arial" w:eastAsia="Times New Roman" w:hAnsi="Arial" w:cs="Arial"/>
          <w:color w:val="000000"/>
          <w:sz w:val="19"/>
          <w:szCs w:val="19"/>
          <w:lang w:eastAsia="fr-FR"/>
        </w:rPr>
        <w:t>tendant à améliorer les rapports locatifs et portant modification de la loi n° 86-1290 du 23 septembre 1986 est ainsi modifié :</w:t>
      </w:r>
      <w:r w:rsidRPr="00874A27">
        <w:rPr>
          <w:rFonts w:ascii="Arial" w:eastAsia="Times New Roman" w:hAnsi="Arial" w:cs="Arial"/>
          <w:color w:val="000000"/>
          <w:sz w:val="19"/>
          <w:szCs w:val="19"/>
          <w:lang w:eastAsia="fr-FR"/>
        </w:rPr>
        <w:br/>
        <w:t>1° Au début du premier alinéa, est ajoutée la mention : « I. ― » ;</w:t>
      </w:r>
      <w:r w:rsidRPr="00874A27">
        <w:rPr>
          <w:rFonts w:ascii="Arial" w:eastAsia="Times New Roman" w:hAnsi="Arial" w:cs="Arial"/>
          <w:color w:val="000000"/>
          <w:sz w:val="19"/>
          <w:szCs w:val="19"/>
          <w:lang w:eastAsia="fr-FR"/>
        </w:rPr>
        <w:br/>
        <w:t>2° Après le premier alinéa, sont insérés cinq alinéas ainsi rédigés :</w:t>
      </w:r>
      <w:r w:rsidRPr="00874A27">
        <w:rPr>
          <w:rFonts w:ascii="Arial" w:eastAsia="Times New Roman" w:hAnsi="Arial" w:cs="Arial"/>
          <w:color w:val="000000"/>
          <w:sz w:val="19"/>
          <w:szCs w:val="19"/>
          <w:lang w:eastAsia="fr-FR"/>
        </w:rPr>
        <w:br/>
        <w:t>« Le commandement de payer reproduit, à peine de nullité, les dispositions du présent article et des trois premiers alinéas de l'article 6 de la loi n° 90-449 du 31 mai 1990 visant la mise en œuvre du droit au logement, en mentionnant la faculté pour le locataire de saisir le fonds de solidarité pour le logement, dont l'adresse de saisine est précisée.</w:t>
      </w:r>
      <w:r w:rsidRPr="00874A27">
        <w:rPr>
          <w:rFonts w:ascii="Arial" w:eastAsia="Times New Roman" w:hAnsi="Arial" w:cs="Arial"/>
          <w:color w:val="000000"/>
          <w:sz w:val="19"/>
          <w:szCs w:val="19"/>
          <w:lang w:eastAsia="fr-FR"/>
        </w:rPr>
        <w:br/>
        <w:t>« Lorsque les obligations résultant d'un contrat de location conclu en application du présent titre sont garanties par un cautionnement, le commandement de payer est signifié à la caution dans un délai de quinze jours à compter de sa signification au locataire. A défaut, la caution ne peut être tenue au paiement des pénalités ou des intérêts de retard.</w:t>
      </w:r>
      <w:r w:rsidRPr="00874A27">
        <w:rPr>
          <w:rFonts w:ascii="Arial" w:eastAsia="Times New Roman" w:hAnsi="Arial" w:cs="Arial"/>
          <w:color w:val="000000"/>
          <w:sz w:val="19"/>
          <w:szCs w:val="19"/>
          <w:lang w:eastAsia="fr-FR"/>
        </w:rPr>
        <w:br/>
        <w:t>« Le représentant de l'Etat dans le département fixe, par arrêté, le montant et l'ancienneté de la dette au-delà desquels les commandements de payer, délivrés à compter du 1er janvier 2015 pour le compte d'un bailleur personne physique ou société civile constituée exclusivement entre parents et alliés jusqu'au quatrième degré inclus, sont signalés par l'huissier de justice à la commission de coordination des actions de prévention des expulsions locatives prévue à l'article 7-2 de la loi n° 90-449 du 31 mai 1990 précitée. Ce signalement est fait dès lors que l'un des deux seuils est atteint, par simple lettre reprenant les éléments essentiels du commandement. Il peut s'effectuer par voie électronique, selon des modalités fixées par décret.</w:t>
      </w:r>
      <w:r w:rsidRPr="00874A27">
        <w:rPr>
          <w:rFonts w:ascii="Arial" w:eastAsia="Times New Roman" w:hAnsi="Arial" w:cs="Arial"/>
          <w:color w:val="000000"/>
          <w:sz w:val="19"/>
          <w:szCs w:val="19"/>
          <w:lang w:eastAsia="fr-FR"/>
        </w:rPr>
        <w:br/>
        <w:t>« L'arrêté mentionné à l'avant-dernier alinéa du présent I est pris après avis du comité responsable du plan départemental d'action pour l'hébergement et le logement des personnes défavorisées ainsi que de la chambre départementale des huissiers de justice. Les modalités de détermination du montant et de l'ancienneté de la dette au-delà desquels les commandements sont signalés sont fixées par décret en Conseil d'Etat.</w:t>
      </w:r>
      <w:r w:rsidRPr="00874A27">
        <w:rPr>
          <w:rFonts w:ascii="Arial" w:eastAsia="Times New Roman" w:hAnsi="Arial" w:cs="Arial"/>
          <w:color w:val="000000"/>
          <w:sz w:val="19"/>
          <w:szCs w:val="19"/>
          <w:lang w:eastAsia="fr-FR"/>
        </w:rPr>
        <w:br/>
        <w:t xml:space="preserve">« II. ― A compter du 1er janvier 2015, les bailleurs personnes morales autres qu'une société civile constituée exclusivement entre parents et alliés jusqu'au quatrième degré inclus ne peuvent faire délivrer, sous peine d'irrecevabilité de la demande, une assignation aux fins de constat de résiliation </w:t>
      </w:r>
      <w:r w:rsidRPr="00874A27">
        <w:rPr>
          <w:rFonts w:ascii="Arial" w:eastAsia="Times New Roman" w:hAnsi="Arial" w:cs="Arial"/>
          <w:color w:val="000000"/>
          <w:sz w:val="19"/>
          <w:szCs w:val="19"/>
          <w:lang w:eastAsia="fr-FR"/>
        </w:rPr>
        <w:lastRenderedPageBreak/>
        <w:t>du bail avant l'expiration d'un délai de deux mois suivant la saisine de la commission de coordination des actions de prévention des expulsions locatives prévue à l'article 7-2 de la loi n° 90-449 du 31 mai 1990 précitée. Cette saisine est réputée constituée lorsque persiste une situation d'impayés, préalablement signalée dans les conditions réglementaires aux organismes payeurs des aides au logement en vue d'assurer le maintien du versement des aides mentionnées à l'article L. 351-2 du code de la construction et de l'habitation et aux articles L. 542-1 et L. 831-1 du code de la sécurité sociale. Cette saisine peut s'effectuer par voie électronique, selon des modalités fixées par décret. » ;</w:t>
      </w:r>
      <w:r w:rsidRPr="00874A27">
        <w:rPr>
          <w:rFonts w:ascii="Arial" w:eastAsia="Times New Roman" w:hAnsi="Arial" w:cs="Arial"/>
          <w:color w:val="000000"/>
          <w:sz w:val="19"/>
          <w:szCs w:val="19"/>
          <w:lang w:eastAsia="fr-FR"/>
        </w:rPr>
        <w:br/>
        <w:t>3° Le deuxième alinéa est ainsi modifié :</w:t>
      </w:r>
      <w:r w:rsidRPr="00874A27">
        <w:rPr>
          <w:rFonts w:ascii="Arial" w:eastAsia="Times New Roman" w:hAnsi="Arial" w:cs="Arial"/>
          <w:color w:val="000000"/>
          <w:sz w:val="19"/>
          <w:szCs w:val="19"/>
          <w:lang w:eastAsia="fr-FR"/>
        </w:rPr>
        <w:br/>
        <w:t>a) Au début, est ajoutée la mention : « III. ― » ;</w:t>
      </w:r>
      <w:r w:rsidRPr="00874A27">
        <w:rPr>
          <w:rFonts w:ascii="Arial" w:eastAsia="Times New Roman" w:hAnsi="Arial" w:cs="Arial"/>
          <w:color w:val="000000"/>
          <w:sz w:val="19"/>
          <w:szCs w:val="19"/>
          <w:lang w:eastAsia="fr-FR"/>
        </w:rPr>
        <w:br/>
        <w:t>b) A la première phrase, les mots : «, en tant que de besoin, les organismes dont relèvent les aides au logement, le Fonds de solidarité pour le logement ou les services sociaux compétents » sont remplacés par les mots : « l'organisme compétent désigné par le plan départemental pour l'hébergement et le logement des personnes défavorisées, suivant la répartition de l'offre globale de services d'accompagnement vers et dans le logement prévue à l'</w:t>
      </w:r>
      <w:hyperlink r:id="rId147" w:history="1">
        <w:r w:rsidRPr="00874A27">
          <w:rPr>
            <w:rFonts w:ascii="Arial" w:eastAsia="Times New Roman" w:hAnsi="Arial" w:cs="Arial"/>
            <w:color w:val="336699"/>
            <w:sz w:val="19"/>
            <w:szCs w:val="19"/>
            <w:u w:val="single"/>
            <w:lang w:eastAsia="fr-FR"/>
          </w:rPr>
          <w:t>article 4 de la loi n° 90-449 du 31 mai 1990 précitée </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c) Après la première phrase, est insérée une phrase ainsi rédigée :</w:t>
      </w:r>
      <w:r w:rsidRPr="00874A27">
        <w:rPr>
          <w:rFonts w:ascii="Arial" w:eastAsia="Times New Roman" w:hAnsi="Arial" w:cs="Arial"/>
          <w:color w:val="000000"/>
          <w:sz w:val="19"/>
          <w:szCs w:val="19"/>
          <w:lang w:eastAsia="fr-FR"/>
        </w:rPr>
        <w:br/>
        <w:t>« Cette saisine peut s'effectuer par voie électronique, selon des modalités fixées par décret. » ;</w:t>
      </w:r>
      <w:r w:rsidRPr="00874A27">
        <w:rPr>
          <w:rFonts w:ascii="Arial" w:eastAsia="Times New Roman" w:hAnsi="Arial" w:cs="Arial"/>
          <w:color w:val="000000"/>
          <w:sz w:val="19"/>
          <w:szCs w:val="19"/>
          <w:lang w:eastAsia="fr-FR"/>
        </w:rPr>
        <w:br/>
        <w:t>d) La seconde phrase est ainsi modifiée :</w:t>
      </w:r>
      <w:r w:rsidRPr="00874A27">
        <w:rPr>
          <w:rFonts w:ascii="Arial" w:eastAsia="Times New Roman" w:hAnsi="Arial" w:cs="Arial"/>
          <w:color w:val="000000"/>
          <w:sz w:val="19"/>
          <w:szCs w:val="19"/>
          <w:lang w:eastAsia="fr-FR"/>
        </w:rPr>
        <w:br/>
        <w:t>― au début, les mots : « Le ou les services ou organismes saisis réalisent une enquête financière et sociale » sont remplacés par les mots : « L'organisme saisi réalise un diagnostic social et financier » ;</w:t>
      </w:r>
      <w:r w:rsidRPr="00874A27">
        <w:rPr>
          <w:rFonts w:ascii="Arial" w:eastAsia="Times New Roman" w:hAnsi="Arial" w:cs="Arial"/>
          <w:color w:val="000000"/>
          <w:sz w:val="19"/>
          <w:szCs w:val="19"/>
          <w:lang w:eastAsia="fr-FR"/>
        </w:rPr>
        <w:br/>
        <w:t>― les mots : « de laquelle » sont remplacés par le mot : « duquel » ;</w:t>
      </w:r>
      <w:r w:rsidRPr="00874A27">
        <w:rPr>
          <w:rFonts w:ascii="Arial" w:eastAsia="Times New Roman" w:hAnsi="Arial" w:cs="Arial"/>
          <w:color w:val="000000"/>
          <w:sz w:val="19"/>
          <w:szCs w:val="19"/>
          <w:lang w:eastAsia="fr-FR"/>
        </w:rPr>
        <w:br/>
        <w:t>― après les mots : « leurs observations », sont insérés les mots : «, et le transmet au juge avant l'audience, ainsi qu'à la commission de coordination des actions de prévention des expulsions locatives » ;</w:t>
      </w:r>
      <w:r w:rsidRPr="00874A27">
        <w:rPr>
          <w:rFonts w:ascii="Arial" w:eastAsia="Times New Roman" w:hAnsi="Arial" w:cs="Arial"/>
          <w:color w:val="000000"/>
          <w:sz w:val="19"/>
          <w:szCs w:val="19"/>
          <w:lang w:eastAsia="fr-FR"/>
        </w:rPr>
        <w:br/>
        <w:t>― à la fin, les mots : « à l'enquête » sont remplacés par les mots : « au diagnostic » ;</w:t>
      </w:r>
      <w:r w:rsidRPr="00874A27">
        <w:rPr>
          <w:rFonts w:ascii="Arial" w:eastAsia="Times New Roman" w:hAnsi="Arial" w:cs="Arial"/>
          <w:color w:val="000000"/>
          <w:sz w:val="19"/>
          <w:szCs w:val="19"/>
          <w:lang w:eastAsia="fr-FR"/>
        </w:rPr>
        <w:br/>
        <w:t>4° Après le deuxième alinéa, il est inséré un IV ainsi rédigé :</w:t>
      </w:r>
      <w:r w:rsidRPr="00874A27">
        <w:rPr>
          <w:rFonts w:ascii="Arial" w:eastAsia="Times New Roman" w:hAnsi="Arial" w:cs="Arial"/>
          <w:color w:val="000000"/>
          <w:sz w:val="19"/>
          <w:szCs w:val="19"/>
          <w:lang w:eastAsia="fr-FR"/>
        </w:rPr>
        <w:br/>
        <w:t>« IV. ― Les II et III sont applicables aux assignations tendant au prononcé de la résiliation du bail lorsqu'elle est motivée par l'existence d'une dette locative du preneur. Ils sont également applicables aux demandes reconventionnelles aux fins de constat ou de prononcé de la résiliation motivées par l'existence d'une dette locative, la notification au représentant de l'Etat dans le département incombant au bailleur. » ;</w:t>
      </w:r>
      <w:r w:rsidRPr="00874A27">
        <w:rPr>
          <w:rFonts w:ascii="Arial" w:eastAsia="Times New Roman" w:hAnsi="Arial" w:cs="Arial"/>
          <w:color w:val="000000"/>
          <w:sz w:val="19"/>
          <w:szCs w:val="19"/>
          <w:lang w:eastAsia="fr-FR"/>
        </w:rPr>
        <w:br/>
        <w:t>5° Le troisième alinéa est ainsi rédigé :</w:t>
      </w:r>
      <w:r w:rsidRPr="00874A27">
        <w:rPr>
          <w:rFonts w:ascii="Arial" w:eastAsia="Times New Roman" w:hAnsi="Arial" w:cs="Arial"/>
          <w:color w:val="000000"/>
          <w:sz w:val="19"/>
          <w:szCs w:val="19"/>
          <w:lang w:eastAsia="fr-FR"/>
        </w:rPr>
        <w:br/>
        <w:t>« V. ― Le juge peut, même d'office, accorder des délais de paiement dans la limite de trois années, par dérogation au délai prévu au </w:t>
      </w:r>
      <w:hyperlink r:id="rId148" w:history="1">
        <w:r w:rsidRPr="00874A27">
          <w:rPr>
            <w:rFonts w:ascii="Arial" w:eastAsia="Times New Roman" w:hAnsi="Arial" w:cs="Arial"/>
            <w:color w:val="336699"/>
            <w:sz w:val="19"/>
            <w:szCs w:val="19"/>
            <w:u w:val="single"/>
            <w:lang w:eastAsia="fr-FR"/>
          </w:rPr>
          <w:t>premier alinéa de l'article 1244-1 du code civil</w:t>
        </w:r>
      </w:hyperlink>
      <w:r w:rsidRPr="00874A27">
        <w:rPr>
          <w:rFonts w:ascii="Arial" w:eastAsia="Times New Roman" w:hAnsi="Arial" w:cs="Arial"/>
          <w:color w:val="000000"/>
          <w:sz w:val="19"/>
          <w:szCs w:val="19"/>
          <w:lang w:eastAsia="fr-FR"/>
        </w:rPr>
        <w:t>, au locataire en situation de régler sa dette locative. L'article 1244-2 du même code s'applique lorsque la décision du juge est prise sur le fondement du présent alinéa. Le juge peut d'office vérifier tout élément constitutif de la dette locative et le respect de l'obligation prévue au premier alinéa de l'article 6 de la présente loi. » ;</w:t>
      </w:r>
      <w:r w:rsidRPr="00874A27">
        <w:rPr>
          <w:rFonts w:ascii="Arial" w:eastAsia="Times New Roman" w:hAnsi="Arial" w:cs="Arial"/>
          <w:color w:val="000000"/>
          <w:sz w:val="19"/>
          <w:szCs w:val="19"/>
          <w:lang w:eastAsia="fr-FR"/>
        </w:rPr>
        <w:br/>
        <w:t>6° Les trois derniers alinéas sont supprimés ;</w:t>
      </w:r>
      <w:r w:rsidRPr="00874A27">
        <w:rPr>
          <w:rFonts w:ascii="Arial" w:eastAsia="Times New Roman" w:hAnsi="Arial" w:cs="Arial"/>
          <w:color w:val="000000"/>
          <w:sz w:val="19"/>
          <w:szCs w:val="19"/>
          <w:lang w:eastAsia="fr-FR"/>
        </w:rPr>
        <w:br/>
        <w:t>7° Il est ajouté un VI ainsi rédigé :</w:t>
      </w:r>
      <w:r w:rsidRPr="00874A27">
        <w:rPr>
          <w:rFonts w:ascii="Arial" w:eastAsia="Times New Roman" w:hAnsi="Arial" w:cs="Arial"/>
          <w:color w:val="000000"/>
          <w:sz w:val="19"/>
          <w:szCs w:val="19"/>
          <w:lang w:eastAsia="fr-FR"/>
        </w:rPr>
        <w:br/>
        <w:t>« VI. ― La notification de la décision de justice prononçant l'expulsion indique les modalités de saisine et l'adresse de la commission de médiation prévue à l'</w:t>
      </w:r>
      <w:hyperlink r:id="rId149" w:history="1">
        <w:r w:rsidRPr="00874A27">
          <w:rPr>
            <w:rFonts w:ascii="Arial" w:eastAsia="Times New Roman" w:hAnsi="Arial" w:cs="Arial"/>
            <w:color w:val="336699"/>
            <w:sz w:val="19"/>
            <w:szCs w:val="19"/>
            <w:u w:val="single"/>
            <w:lang w:eastAsia="fr-FR"/>
          </w:rPr>
          <w:t>article L. 441-2-3 du code de la construction et de l'habitation</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II.-A la seconde phrase du septième alinéa du II de l'article L. 331-3 du code de la consommation, après le mot : « département, », sont insérés les mots : « la commission de coordination des actions de prévention des expulsions locatives prévue à l'article 7-2 de la loi n° 90-449 du 31 mai 1990 visant à la mise en œuvre du droit au logement, ».</w:t>
      </w:r>
      <w:r w:rsidRPr="00874A27">
        <w:rPr>
          <w:rFonts w:ascii="Arial" w:eastAsia="Times New Roman" w:hAnsi="Arial" w:cs="Arial"/>
          <w:color w:val="000000"/>
          <w:sz w:val="19"/>
          <w:szCs w:val="19"/>
          <w:lang w:eastAsia="fr-FR"/>
        </w:rPr>
        <w:br/>
        <w:t>III.-La section 2 du chapitre II du titre III du livre III du même code est ainsi modifiée :</w:t>
      </w:r>
      <w:r w:rsidRPr="00874A27">
        <w:rPr>
          <w:rFonts w:ascii="Arial" w:eastAsia="Times New Roman" w:hAnsi="Arial" w:cs="Arial"/>
          <w:color w:val="000000"/>
          <w:sz w:val="19"/>
          <w:szCs w:val="19"/>
          <w:lang w:eastAsia="fr-FR"/>
        </w:rPr>
        <w:br/>
        <w:t>1° A la première phrase du deuxième alinéa de l'article L. 332-5, après la première occurrence du mot : « débiteur », sont insérés les mots : «, arrêtées à la date de l'ordonnance conférant force exécutoire à la recommandation, » ;</w:t>
      </w:r>
      <w:r w:rsidRPr="00874A27">
        <w:rPr>
          <w:rFonts w:ascii="Arial" w:eastAsia="Times New Roman" w:hAnsi="Arial" w:cs="Arial"/>
          <w:color w:val="000000"/>
          <w:sz w:val="19"/>
          <w:szCs w:val="19"/>
          <w:lang w:eastAsia="fr-FR"/>
        </w:rPr>
        <w:br/>
        <w:t>2° Le troisième alinéa de l'article L. 332-5-1 et le premier alinéa de l'article L. 332-5-2 sont complétés par une phrase ainsi rédigée :</w:t>
      </w:r>
      <w:r w:rsidRPr="00874A27">
        <w:rPr>
          <w:rFonts w:ascii="Arial" w:eastAsia="Times New Roman" w:hAnsi="Arial" w:cs="Arial"/>
          <w:color w:val="000000"/>
          <w:sz w:val="19"/>
          <w:szCs w:val="19"/>
          <w:lang w:eastAsia="fr-FR"/>
        </w:rPr>
        <w:br/>
        <w:t>« Cependant, dans ce cas, les dettes sont arrêtées à la date du jugement prononçant le rétablissement personnel sans liquidation judiciaire. » ;</w:t>
      </w:r>
      <w:r w:rsidRPr="00874A27">
        <w:rPr>
          <w:rFonts w:ascii="Arial" w:eastAsia="Times New Roman" w:hAnsi="Arial" w:cs="Arial"/>
          <w:color w:val="000000"/>
          <w:sz w:val="19"/>
          <w:szCs w:val="19"/>
          <w:lang w:eastAsia="fr-FR"/>
        </w:rPr>
        <w:br/>
        <w:t>3° Le premier alinéa de l'article L. 332-6-1 est complété par une phrase ainsi rédigée :</w:t>
      </w:r>
      <w:r w:rsidRPr="00874A27">
        <w:rPr>
          <w:rFonts w:ascii="Arial" w:eastAsia="Times New Roman" w:hAnsi="Arial" w:cs="Arial"/>
          <w:color w:val="000000"/>
          <w:sz w:val="19"/>
          <w:szCs w:val="19"/>
          <w:lang w:eastAsia="fr-FR"/>
        </w:rPr>
        <w:br/>
        <w:t>« Le jugement emporte les mêmes effets que ceux mentionnés au deuxième alinéa de l'article L. 332-9. » ;</w:t>
      </w:r>
      <w:r w:rsidRPr="00874A27">
        <w:rPr>
          <w:rFonts w:ascii="Arial" w:eastAsia="Times New Roman" w:hAnsi="Arial" w:cs="Arial"/>
          <w:color w:val="000000"/>
          <w:sz w:val="19"/>
          <w:szCs w:val="19"/>
          <w:lang w:eastAsia="fr-FR"/>
        </w:rPr>
        <w:br/>
        <w:t>4° A la première phrase du deuxième alinéa de l'article L. 332-9, après la première occurrence du mot : « débiteur, », sont insérés les mots : « arrêtées à la date du jugement d'ouverture, ».</w:t>
      </w:r>
      <w:r w:rsidRPr="00874A27">
        <w:rPr>
          <w:rFonts w:ascii="Arial" w:eastAsia="Times New Roman" w:hAnsi="Arial" w:cs="Arial"/>
          <w:color w:val="000000"/>
          <w:sz w:val="19"/>
          <w:szCs w:val="19"/>
          <w:lang w:eastAsia="fr-FR"/>
        </w:rPr>
        <w:br/>
        <w:t>IV. ― Le code de la construction et de l'habitation est ainsi modifié :</w:t>
      </w:r>
      <w:r w:rsidRPr="00874A27">
        <w:rPr>
          <w:rFonts w:ascii="Arial" w:eastAsia="Times New Roman" w:hAnsi="Arial" w:cs="Arial"/>
          <w:color w:val="000000"/>
          <w:sz w:val="19"/>
          <w:szCs w:val="19"/>
          <w:lang w:eastAsia="fr-FR"/>
        </w:rPr>
        <w:br/>
        <w:t>1° Après le premier alinéa de l'article L. 351-2-1, il est inséré un alinéa ainsi rédigé :</w:t>
      </w:r>
      <w:r w:rsidRPr="00874A27">
        <w:rPr>
          <w:rFonts w:ascii="Arial" w:eastAsia="Times New Roman" w:hAnsi="Arial" w:cs="Arial"/>
          <w:color w:val="000000"/>
          <w:sz w:val="19"/>
          <w:szCs w:val="19"/>
          <w:lang w:eastAsia="fr-FR"/>
        </w:rPr>
        <w:br/>
        <w:t>« L'aide personnalisée au logement est attribuée dans les conditions fixées au I de l'article L. 542-2 du même code.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2° Les articles L. 353-15-1 et L. 442-6-1 sont abrogés ;</w:t>
      </w:r>
      <w:r w:rsidRPr="00874A27">
        <w:rPr>
          <w:rFonts w:ascii="Arial" w:eastAsia="Times New Roman" w:hAnsi="Arial" w:cs="Arial"/>
          <w:color w:val="000000"/>
          <w:sz w:val="19"/>
          <w:szCs w:val="19"/>
          <w:lang w:eastAsia="fr-FR"/>
        </w:rPr>
        <w:br/>
        <w:t>3° Au second alinéa de l'article L. 353-19, les références : « des articles L. 353-15-1 et L. 353-15-2 » sont remplacées par la référence : « de l'article L. 353-15-2 » ;</w:t>
      </w:r>
      <w:r w:rsidRPr="00874A27">
        <w:rPr>
          <w:rFonts w:ascii="Arial" w:eastAsia="Times New Roman" w:hAnsi="Arial" w:cs="Arial"/>
          <w:color w:val="000000"/>
          <w:sz w:val="19"/>
          <w:szCs w:val="19"/>
          <w:lang w:eastAsia="fr-FR"/>
        </w:rPr>
        <w:br/>
        <w:t>4° L'article L. 351-14 est ainsi rédigé :</w:t>
      </w:r>
      <w:r w:rsidRPr="00874A27">
        <w:rPr>
          <w:rFonts w:ascii="Arial" w:eastAsia="Times New Roman" w:hAnsi="Arial" w:cs="Arial"/>
          <w:color w:val="000000"/>
          <w:sz w:val="19"/>
          <w:szCs w:val="19"/>
          <w:lang w:eastAsia="fr-FR"/>
        </w:rPr>
        <w:br/>
        <w:t>« Art. L. 351-14.-L'organisme payeur décide, selon des modalités fixées par décret, du maintien du versement de l'aide personnalisée au logement lorsque le bénéficiaire ne règle pas la part de la dépense de logement restant à sa charge. Pour les allocataires de bonne foi et dans des conditions précisées par décret, cette décision de maintien du versement de l'aide personnalisée au logement est réputée favorable.</w:t>
      </w:r>
      <w:r w:rsidRPr="00874A27">
        <w:rPr>
          <w:rFonts w:ascii="Arial" w:eastAsia="Times New Roman" w:hAnsi="Arial" w:cs="Arial"/>
          <w:color w:val="000000"/>
          <w:sz w:val="19"/>
          <w:szCs w:val="19"/>
          <w:lang w:eastAsia="fr-FR"/>
        </w:rPr>
        <w:br/>
        <w:t>« Le directeur de l'organisme payeur statue, après avis de la commission de recours amiable qui connaît des réclamations relevant de l'</w:t>
      </w:r>
      <w:hyperlink r:id="rId150" w:history="1">
        <w:r w:rsidRPr="00874A27">
          <w:rPr>
            <w:rFonts w:ascii="Arial" w:eastAsia="Times New Roman" w:hAnsi="Arial" w:cs="Arial"/>
            <w:color w:val="336699"/>
            <w:sz w:val="19"/>
            <w:szCs w:val="19"/>
            <w:u w:val="single"/>
            <w:lang w:eastAsia="fr-FR"/>
          </w:rPr>
          <w:t>article L. 142-1 du code de la sécurité sociale</w:t>
        </w:r>
      </w:hyperlink>
      <w:r w:rsidRPr="00874A27">
        <w:rPr>
          <w:rFonts w:ascii="Arial" w:eastAsia="Times New Roman" w:hAnsi="Arial" w:cs="Arial"/>
          <w:color w:val="000000"/>
          <w:sz w:val="19"/>
          <w:szCs w:val="19"/>
          <w:lang w:eastAsia="fr-FR"/>
        </w:rPr>
        <w:t>, sur :</w:t>
      </w:r>
      <w:r w:rsidRPr="00874A27">
        <w:rPr>
          <w:rFonts w:ascii="Arial" w:eastAsia="Times New Roman" w:hAnsi="Arial" w:cs="Arial"/>
          <w:color w:val="000000"/>
          <w:sz w:val="19"/>
          <w:szCs w:val="19"/>
          <w:lang w:eastAsia="fr-FR"/>
        </w:rPr>
        <w:br/>
        <w:t>« 1° Les demandes de remise de dettes présentées à titre gracieux par les bénéficiaires de l'aide personnalisée au logement en cas de réclamation d'un trop-perçu ;</w:t>
      </w:r>
      <w:r w:rsidRPr="00874A27">
        <w:rPr>
          <w:rFonts w:ascii="Arial" w:eastAsia="Times New Roman" w:hAnsi="Arial" w:cs="Arial"/>
          <w:color w:val="000000"/>
          <w:sz w:val="19"/>
          <w:szCs w:val="19"/>
          <w:lang w:eastAsia="fr-FR"/>
        </w:rPr>
        <w:br/>
        <w:t>« 2° Les contestations des décisions prises par l'organisme payeur au titre de l'aide personnalisée au logement ou de la prime de déménagement.</w:t>
      </w:r>
      <w:r w:rsidRPr="00874A27">
        <w:rPr>
          <w:rFonts w:ascii="Arial" w:eastAsia="Times New Roman" w:hAnsi="Arial" w:cs="Arial"/>
          <w:color w:val="000000"/>
          <w:sz w:val="19"/>
          <w:szCs w:val="19"/>
          <w:lang w:eastAsia="fr-FR"/>
        </w:rPr>
        <w:br/>
        <w:t>« Les recours relatifs à ces décisions sont portés devant la juridiction administrative. » ;</w:t>
      </w:r>
      <w:r w:rsidRPr="00874A27">
        <w:rPr>
          <w:rFonts w:ascii="Arial" w:eastAsia="Times New Roman" w:hAnsi="Arial" w:cs="Arial"/>
          <w:color w:val="000000"/>
          <w:sz w:val="19"/>
          <w:szCs w:val="19"/>
          <w:lang w:eastAsia="fr-FR"/>
        </w:rPr>
        <w:br/>
        <w:t>5° Après l'article L. 351-14, il est inséré un article L. 351-14-1 ainsi rédigé :</w:t>
      </w:r>
      <w:r w:rsidRPr="00874A27">
        <w:rPr>
          <w:rFonts w:ascii="Arial" w:eastAsia="Times New Roman" w:hAnsi="Arial" w:cs="Arial"/>
          <w:color w:val="000000"/>
          <w:sz w:val="19"/>
          <w:szCs w:val="19"/>
          <w:lang w:eastAsia="fr-FR"/>
        </w:rPr>
        <w:br/>
        <w:t>« Art. L. 351-14-1.-La décision déclarant la recevabilité de la demande mentionnée au </w:t>
      </w:r>
      <w:hyperlink r:id="rId151" w:history="1">
        <w:r w:rsidRPr="00874A27">
          <w:rPr>
            <w:rFonts w:ascii="Arial" w:eastAsia="Times New Roman" w:hAnsi="Arial" w:cs="Arial"/>
            <w:color w:val="336699"/>
            <w:sz w:val="19"/>
            <w:szCs w:val="19"/>
            <w:u w:val="single"/>
            <w:lang w:eastAsia="fr-FR"/>
          </w:rPr>
          <w:t>quatrième alinéa de l'article L. 331-3-1 du code de la consommation </w:t>
        </w:r>
      </w:hyperlink>
      <w:r w:rsidRPr="00874A27">
        <w:rPr>
          <w:rFonts w:ascii="Arial" w:eastAsia="Times New Roman" w:hAnsi="Arial" w:cs="Arial"/>
          <w:color w:val="000000"/>
          <w:sz w:val="19"/>
          <w:szCs w:val="19"/>
          <w:lang w:eastAsia="fr-FR"/>
        </w:rPr>
        <w:t>emporte rétablissement des droits à l'aide personnalisée au logement du locataire, si son versement a été suspendu.</w:t>
      </w:r>
      <w:r w:rsidRPr="00874A27">
        <w:rPr>
          <w:rFonts w:ascii="Arial" w:eastAsia="Times New Roman" w:hAnsi="Arial" w:cs="Arial"/>
          <w:color w:val="000000"/>
          <w:sz w:val="19"/>
          <w:szCs w:val="19"/>
          <w:lang w:eastAsia="fr-FR"/>
        </w:rPr>
        <w:br/>
        <w:t>« Le déblocage des aides personnalisées au logement s'effectue dans les conditions prévues à l'article L. 351-9 du présent code. » ;</w:t>
      </w:r>
      <w:r w:rsidRPr="00874A27">
        <w:rPr>
          <w:rFonts w:ascii="Arial" w:eastAsia="Times New Roman" w:hAnsi="Arial" w:cs="Arial"/>
          <w:color w:val="000000"/>
          <w:sz w:val="19"/>
          <w:szCs w:val="19"/>
          <w:lang w:eastAsia="fr-FR"/>
        </w:rPr>
        <w:br/>
        <w:t>6° L'article L. 351-12 est ainsi modifié :</w:t>
      </w:r>
      <w:r w:rsidRPr="00874A27">
        <w:rPr>
          <w:rFonts w:ascii="Arial" w:eastAsia="Times New Roman" w:hAnsi="Arial" w:cs="Arial"/>
          <w:color w:val="000000"/>
          <w:sz w:val="19"/>
          <w:szCs w:val="19"/>
          <w:lang w:eastAsia="fr-FR"/>
        </w:rPr>
        <w:br/>
        <w:t>a) Après le premier alinéa, sont insérés trois alinéas ainsi rédigés :</w:t>
      </w:r>
      <w:r w:rsidRPr="00874A27">
        <w:rPr>
          <w:rFonts w:ascii="Arial" w:eastAsia="Times New Roman" w:hAnsi="Arial" w:cs="Arial"/>
          <w:color w:val="000000"/>
          <w:sz w:val="19"/>
          <w:szCs w:val="19"/>
          <w:lang w:eastAsia="fr-FR"/>
        </w:rPr>
        <w:br/>
        <w:t>« Si l'allocataire ne règle pas la part de la dépense de logement restant à sa charge, le bailleur ou le prêteur auprès duquel l'aide est versée signale la situation de l'allocataire défaillant à l'organisme payeur, dans des conditions définies par décret.</w:t>
      </w:r>
      <w:r w:rsidRPr="00874A27">
        <w:rPr>
          <w:rFonts w:ascii="Arial" w:eastAsia="Times New Roman" w:hAnsi="Arial" w:cs="Arial"/>
          <w:color w:val="000000"/>
          <w:sz w:val="19"/>
          <w:szCs w:val="19"/>
          <w:lang w:eastAsia="fr-FR"/>
        </w:rPr>
        <w:br/>
        <w:t>« Le bailleur auprès duquel l'aide est versée signale le déménagement de l'allocataire et la résiliation de son bail, dans un délai déterminé par décret.</w:t>
      </w:r>
      <w:r w:rsidRPr="00874A27">
        <w:rPr>
          <w:rFonts w:ascii="Arial" w:eastAsia="Times New Roman" w:hAnsi="Arial" w:cs="Arial"/>
          <w:color w:val="000000"/>
          <w:sz w:val="19"/>
          <w:szCs w:val="19"/>
          <w:lang w:eastAsia="fr-FR"/>
        </w:rPr>
        <w:br/>
        <w:t>« Si l'allocataire procède à un remboursement anticipé de son prêt, le prêteur auprès duquel l'aide est versée signale ce remboursement anticipé à l'organisme payeur, dans un délai fixé par décret. » ;</w:t>
      </w:r>
      <w:r w:rsidRPr="00874A27">
        <w:rPr>
          <w:rFonts w:ascii="Arial" w:eastAsia="Times New Roman" w:hAnsi="Arial" w:cs="Arial"/>
          <w:color w:val="000000"/>
          <w:sz w:val="19"/>
          <w:szCs w:val="19"/>
          <w:lang w:eastAsia="fr-FR"/>
        </w:rPr>
        <w:br/>
        <w:t>b) Au deuxième alinéa, la référence : « du premier alinéa » est remplacée par les références : « des alinéas précédents » et les mots : « ou le bailleur » sont remplacés par les mots : «, le bailleur ou le prêteur » ;</w:t>
      </w:r>
      <w:r w:rsidRPr="00874A27">
        <w:rPr>
          <w:rFonts w:ascii="Arial" w:eastAsia="Times New Roman" w:hAnsi="Arial" w:cs="Arial"/>
          <w:color w:val="000000"/>
          <w:sz w:val="19"/>
          <w:szCs w:val="19"/>
          <w:lang w:eastAsia="fr-FR"/>
        </w:rPr>
        <w:br/>
        <w:t>7° L'article L. 353-15-2 est ainsi modifié :</w:t>
      </w:r>
      <w:r w:rsidRPr="00874A27">
        <w:rPr>
          <w:rFonts w:ascii="Arial" w:eastAsia="Times New Roman" w:hAnsi="Arial" w:cs="Arial"/>
          <w:color w:val="000000"/>
          <w:sz w:val="19"/>
          <w:szCs w:val="19"/>
          <w:lang w:eastAsia="fr-FR"/>
        </w:rPr>
        <w:br/>
        <w:t>a) A la première phrase du premier alinéa, au quatrième alinéa et à la première phrase du dernier alinéa, les mots : « l'organisme » sont remplacés par les mots : « le bailleur » ;</w:t>
      </w:r>
      <w:r w:rsidRPr="00874A27">
        <w:rPr>
          <w:rFonts w:ascii="Arial" w:eastAsia="Times New Roman" w:hAnsi="Arial" w:cs="Arial"/>
          <w:color w:val="000000"/>
          <w:sz w:val="19"/>
          <w:szCs w:val="19"/>
          <w:lang w:eastAsia="fr-FR"/>
        </w:rPr>
        <w:br/>
        <w:t>b) Aux deuxième et troisième alinéas, les mots : « la commission mentionnée » sont remplacés par les mots : « l'organisme payeur mentionné » ;</w:t>
      </w:r>
      <w:r w:rsidRPr="00874A27">
        <w:rPr>
          <w:rFonts w:ascii="Arial" w:eastAsia="Times New Roman" w:hAnsi="Arial" w:cs="Arial"/>
          <w:color w:val="000000"/>
          <w:sz w:val="19"/>
          <w:szCs w:val="19"/>
          <w:lang w:eastAsia="fr-FR"/>
        </w:rPr>
        <w:br/>
        <w:t>c) Le cinquième alinéa est complété par les mots : «, et l'examen par le bailleur de la possibilité de proposer au locataire une mutation vers un logement avec un loyer plus adapté tenant compte de la typologie du ménage » ;</w:t>
      </w:r>
      <w:r w:rsidRPr="00874A27">
        <w:rPr>
          <w:rFonts w:ascii="Arial" w:eastAsia="Times New Roman" w:hAnsi="Arial" w:cs="Arial"/>
          <w:color w:val="000000"/>
          <w:sz w:val="19"/>
          <w:szCs w:val="19"/>
          <w:lang w:eastAsia="fr-FR"/>
        </w:rPr>
        <w:br/>
        <w:t>d) Après le sixième alinéa, il est inséré un alinéa ainsi rédigé :</w:t>
      </w:r>
      <w:r w:rsidRPr="00874A27">
        <w:rPr>
          <w:rFonts w:ascii="Arial" w:eastAsia="Times New Roman" w:hAnsi="Arial" w:cs="Arial"/>
          <w:color w:val="000000"/>
          <w:sz w:val="19"/>
          <w:szCs w:val="19"/>
          <w:lang w:eastAsia="fr-FR"/>
        </w:rPr>
        <w:br/>
        <w:t>« Lorsque la décision de recevabilité de la demande mentionnée à l'</w:t>
      </w:r>
      <w:hyperlink r:id="rId152" w:history="1">
        <w:r w:rsidRPr="00874A27">
          <w:rPr>
            <w:rFonts w:ascii="Arial" w:eastAsia="Times New Roman" w:hAnsi="Arial" w:cs="Arial"/>
            <w:color w:val="336699"/>
            <w:sz w:val="19"/>
            <w:szCs w:val="19"/>
            <w:u w:val="single"/>
            <w:lang w:eastAsia="fr-FR"/>
          </w:rPr>
          <w:t>avant-dernier alinéa de l'article L. 331-3-1 du code de la consommation </w:t>
        </w:r>
      </w:hyperlink>
      <w:r w:rsidRPr="00874A27">
        <w:rPr>
          <w:rFonts w:ascii="Arial" w:eastAsia="Times New Roman" w:hAnsi="Arial" w:cs="Arial"/>
          <w:color w:val="000000"/>
          <w:sz w:val="19"/>
          <w:szCs w:val="19"/>
          <w:lang w:eastAsia="fr-FR"/>
        </w:rPr>
        <w:t>est déclarée et qu'un protocole de cohésion sociale a été conclu avec le bailleur antérieurement, le paiement des arriérés de loyer prévu par ledit protocole est suspendu jusqu'à la mise en place des mesures prévues aux 1° et 2° de l'article L. 330-1 ou aux articles L. 331-6 à L. 331-7-2 du même code. Lorsque lesdites mesures prévoient des modalités de règlement de la dette de loyer, celles-ci se substituent aux modalités de règlement de la dette de loyer prévues dans le protocole de cohésion sociale, dont la durée est prolongée jusqu'au règlement de la dette de loyer, dans la limite de la durée des mesures de redressement prises en application des articles L. 331-6 à L. 331-7-2 dudit code. » ;</w:t>
      </w:r>
      <w:r w:rsidRPr="00874A27">
        <w:rPr>
          <w:rFonts w:ascii="Arial" w:eastAsia="Times New Roman" w:hAnsi="Arial" w:cs="Arial"/>
          <w:color w:val="000000"/>
          <w:sz w:val="19"/>
          <w:szCs w:val="19"/>
          <w:lang w:eastAsia="fr-FR"/>
        </w:rPr>
        <w:br/>
        <w:t>8° A la seconde phrase du huitième alinéa de l'article L. 411-3, les mots : « ainsi que des dispositions des articles L. 353-15-1 et L. 442-6-1 » sont supprimés ;</w:t>
      </w:r>
      <w:r w:rsidRPr="00874A27">
        <w:rPr>
          <w:rFonts w:ascii="Arial" w:eastAsia="Times New Roman" w:hAnsi="Arial" w:cs="Arial"/>
          <w:color w:val="000000"/>
          <w:sz w:val="19"/>
          <w:szCs w:val="19"/>
          <w:lang w:eastAsia="fr-FR"/>
        </w:rPr>
        <w:br/>
        <w:t>9° La seconde phrase du premier alinéa de l'article L. 411-4 est ainsi rédigée :</w:t>
      </w:r>
      <w:r w:rsidRPr="00874A27">
        <w:rPr>
          <w:rFonts w:ascii="Arial" w:eastAsia="Times New Roman" w:hAnsi="Arial" w:cs="Arial"/>
          <w:color w:val="000000"/>
          <w:sz w:val="19"/>
          <w:szCs w:val="19"/>
          <w:lang w:eastAsia="fr-FR"/>
        </w:rPr>
        <w:br/>
        <w:t>« L'article L. 353-19 est applicable aux locataires de ces logements. » ;</w:t>
      </w:r>
      <w:r w:rsidRPr="00874A27">
        <w:rPr>
          <w:rFonts w:ascii="Arial" w:eastAsia="Times New Roman" w:hAnsi="Arial" w:cs="Arial"/>
          <w:color w:val="000000"/>
          <w:sz w:val="19"/>
          <w:szCs w:val="19"/>
          <w:lang w:eastAsia="fr-FR"/>
        </w:rPr>
        <w:br/>
        <w:t>10° L'article L. 442-6-5 est ainsi modifié :</w:t>
      </w:r>
      <w:r w:rsidRPr="00874A27">
        <w:rPr>
          <w:rFonts w:ascii="Arial" w:eastAsia="Times New Roman" w:hAnsi="Arial" w:cs="Arial"/>
          <w:color w:val="000000"/>
          <w:sz w:val="19"/>
          <w:szCs w:val="19"/>
          <w:lang w:eastAsia="fr-FR"/>
        </w:rPr>
        <w:br/>
        <w:t>a) A la première phrase du premier alinéa, au quatrième alinéa et à la première phrase du dernier alinéa, les mots : « l'organisme » sont remplacés par les mots : « le bailleur » ;</w:t>
      </w:r>
      <w:r w:rsidRPr="00874A27">
        <w:rPr>
          <w:rFonts w:ascii="Arial" w:eastAsia="Times New Roman" w:hAnsi="Arial" w:cs="Arial"/>
          <w:color w:val="000000"/>
          <w:sz w:val="19"/>
          <w:szCs w:val="19"/>
          <w:lang w:eastAsia="fr-FR"/>
        </w:rPr>
        <w:br/>
        <w:t>b) Après le sixième alinéa, il est inséré un alinéa ainsi rédigé :</w:t>
      </w:r>
      <w:r w:rsidRPr="00874A27">
        <w:rPr>
          <w:rFonts w:ascii="Arial" w:eastAsia="Times New Roman" w:hAnsi="Arial" w:cs="Arial"/>
          <w:color w:val="000000"/>
          <w:sz w:val="19"/>
          <w:szCs w:val="19"/>
          <w:lang w:eastAsia="fr-FR"/>
        </w:rPr>
        <w:br/>
        <w:t>« Lorsque la décision de recevabilité de la demande mentionnée à l'</w:t>
      </w:r>
      <w:hyperlink r:id="rId153" w:history="1">
        <w:r w:rsidRPr="00874A27">
          <w:rPr>
            <w:rFonts w:ascii="Arial" w:eastAsia="Times New Roman" w:hAnsi="Arial" w:cs="Arial"/>
            <w:color w:val="336699"/>
            <w:sz w:val="19"/>
            <w:szCs w:val="19"/>
            <w:u w:val="single"/>
            <w:lang w:eastAsia="fr-FR"/>
          </w:rPr>
          <w:t>avant-dernier alinéa de l'article L. 331-3-1 du code de la consommation </w:t>
        </w:r>
      </w:hyperlink>
      <w:r w:rsidRPr="00874A27">
        <w:rPr>
          <w:rFonts w:ascii="Arial" w:eastAsia="Times New Roman" w:hAnsi="Arial" w:cs="Arial"/>
          <w:color w:val="000000"/>
          <w:sz w:val="19"/>
          <w:szCs w:val="19"/>
          <w:lang w:eastAsia="fr-FR"/>
        </w:rPr>
        <w:t xml:space="preserve">est déclarée et qu'un protocole de cohésion sociale a été conclu avec le bailleur antérieurement, le paiement des arriérés de loyer prévu par ledit protocole est suspendu jusqu'à la mise en place des mesures prévues aux 1° et 2° de l'article L. 330-1 ou </w:t>
      </w:r>
      <w:r w:rsidRPr="00874A27">
        <w:rPr>
          <w:rFonts w:ascii="Arial" w:eastAsia="Times New Roman" w:hAnsi="Arial" w:cs="Arial"/>
          <w:color w:val="000000"/>
          <w:sz w:val="19"/>
          <w:szCs w:val="19"/>
          <w:lang w:eastAsia="fr-FR"/>
        </w:rPr>
        <w:lastRenderedPageBreak/>
        <w:t>aux </w:t>
      </w:r>
      <w:hyperlink r:id="rId154" w:history="1">
        <w:r w:rsidRPr="00874A27">
          <w:rPr>
            <w:rFonts w:ascii="Arial" w:eastAsia="Times New Roman" w:hAnsi="Arial" w:cs="Arial"/>
            <w:color w:val="336699"/>
            <w:sz w:val="19"/>
            <w:szCs w:val="19"/>
            <w:u w:val="single"/>
            <w:lang w:eastAsia="fr-FR"/>
          </w:rPr>
          <w:t>articles L. 331-6 à L. 331-7-2 du code de la consommation</w:t>
        </w:r>
      </w:hyperlink>
      <w:r w:rsidRPr="00874A27">
        <w:rPr>
          <w:rFonts w:ascii="Arial" w:eastAsia="Times New Roman" w:hAnsi="Arial" w:cs="Arial"/>
          <w:color w:val="000000"/>
          <w:sz w:val="19"/>
          <w:szCs w:val="19"/>
          <w:lang w:eastAsia="fr-FR"/>
        </w:rPr>
        <w:t>. Lorsque lesdites mesures prévoient des modalités de règlement de la dette de loyer, celles-ci se substituent aux modalités de règlement de la dette de loyer prévues dans le protocole de cohésion sociale, dont la durée est prolongée jusqu'au règlement de la dette de loyer, dans la limite de la durée des mesures de redressement prises en application des articles L. 331-6 à L. 331-7-2 du même code. »</w:t>
      </w:r>
      <w:r w:rsidRPr="00874A27">
        <w:rPr>
          <w:rFonts w:ascii="Arial" w:eastAsia="Times New Roman" w:hAnsi="Arial" w:cs="Arial"/>
          <w:color w:val="000000"/>
          <w:sz w:val="19"/>
          <w:szCs w:val="19"/>
          <w:lang w:eastAsia="fr-FR"/>
        </w:rPr>
        <w:br/>
        <w:t>V. ― Le code de la sécurité sociale est ainsi modifié :</w:t>
      </w:r>
      <w:r w:rsidRPr="00874A27">
        <w:rPr>
          <w:rFonts w:ascii="Arial" w:eastAsia="Times New Roman" w:hAnsi="Arial" w:cs="Arial"/>
          <w:color w:val="000000"/>
          <w:sz w:val="19"/>
          <w:szCs w:val="19"/>
          <w:lang w:eastAsia="fr-FR"/>
        </w:rPr>
        <w:br/>
        <w:t>1° Après l'article L. 542-2, il est inséré un article L. 542-2-1 ainsi rédigé :</w:t>
      </w:r>
      <w:r w:rsidRPr="00874A27">
        <w:rPr>
          <w:rFonts w:ascii="Arial" w:eastAsia="Times New Roman" w:hAnsi="Arial" w:cs="Arial"/>
          <w:color w:val="000000"/>
          <w:sz w:val="19"/>
          <w:szCs w:val="19"/>
          <w:lang w:eastAsia="fr-FR"/>
        </w:rPr>
        <w:br/>
        <w:t>« Art. L. 542-2-1.-L'organisme payeur décide, selon des modalités fixées par décret, du maintien du versement de l'allocation de logement lorsque le bénéficiaire ne règle pas la part de la dépense de logement restant à sa charge. Pour les allocataires de bonne foi et dans des conditions précisées par décret, cette décision de maintien du versement de l'allocation de logement est réputée favorable. » ;</w:t>
      </w:r>
      <w:r w:rsidRPr="00874A27">
        <w:rPr>
          <w:rFonts w:ascii="Arial" w:eastAsia="Times New Roman" w:hAnsi="Arial" w:cs="Arial"/>
          <w:color w:val="000000"/>
          <w:sz w:val="19"/>
          <w:szCs w:val="19"/>
          <w:lang w:eastAsia="fr-FR"/>
        </w:rPr>
        <w:br/>
        <w:t>2° Après le deuxième alinéa du II de l'article L. 553-4, sont insérés quatre alinéas ainsi rédigés :</w:t>
      </w:r>
      <w:r w:rsidRPr="00874A27">
        <w:rPr>
          <w:rFonts w:ascii="Arial" w:eastAsia="Times New Roman" w:hAnsi="Arial" w:cs="Arial"/>
          <w:color w:val="000000"/>
          <w:sz w:val="19"/>
          <w:szCs w:val="19"/>
          <w:lang w:eastAsia="fr-FR"/>
        </w:rPr>
        <w:br/>
        <w:t>« Si l'allocataire ne règle pas la part de la dépense de logement restant à sa charge, le bailleur ou le prêteur auprès duquel l'allocation est versée signale la situation de l'allocataire défaillant à l'organisme payeur, dans des conditions définies par décret.</w:t>
      </w:r>
      <w:r w:rsidRPr="00874A27">
        <w:rPr>
          <w:rFonts w:ascii="Arial" w:eastAsia="Times New Roman" w:hAnsi="Arial" w:cs="Arial"/>
          <w:color w:val="000000"/>
          <w:sz w:val="19"/>
          <w:szCs w:val="19"/>
          <w:lang w:eastAsia="fr-FR"/>
        </w:rPr>
        <w:br/>
        <w:t>« Le bailleur auprès duquel l'allocation est versée signale le déménagement de l'allocataire et la résiliation de son bail, dans un délai déterminé par décret.</w:t>
      </w:r>
      <w:r w:rsidRPr="00874A27">
        <w:rPr>
          <w:rFonts w:ascii="Arial" w:eastAsia="Times New Roman" w:hAnsi="Arial" w:cs="Arial"/>
          <w:color w:val="000000"/>
          <w:sz w:val="19"/>
          <w:szCs w:val="19"/>
          <w:lang w:eastAsia="fr-FR"/>
        </w:rPr>
        <w:br/>
        <w:t>« Si l'allocataire procède à un remboursement anticipé de son prêt, le prêteur auprès duquel l'allocation est versée signale ce remboursement anticipé à l'organisme payeur, dans un délai fixé par décret.</w:t>
      </w:r>
      <w:r w:rsidRPr="00874A27">
        <w:rPr>
          <w:rFonts w:ascii="Arial" w:eastAsia="Times New Roman" w:hAnsi="Arial" w:cs="Arial"/>
          <w:color w:val="000000"/>
          <w:sz w:val="19"/>
          <w:szCs w:val="19"/>
          <w:lang w:eastAsia="fr-FR"/>
        </w:rPr>
        <w:br/>
        <w:t>« Le bailleur ou le prêteur manquant aux obligations définies aux troisième à cinquième alinéas du présent II s'expose à la pénalité prévue à l'article L. 114-17. » ;</w:t>
      </w:r>
      <w:r w:rsidRPr="00874A27">
        <w:rPr>
          <w:rFonts w:ascii="Arial" w:eastAsia="Times New Roman" w:hAnsi="Arial" w:cs="Arial"/>
          <w:color w:val="000000"/>
          <w:sz w:val="19"/>
          <w:szCs w:val="19"/>
          <w:lang w:eastAsia="fr-FR"/>
        </w:rPr>
        <w:br/>
        <w:t>3° Après l'article L. 831-2, il est inséré un article L. 831-2-1 ainsi rédigé :</w:t>
      </w:r>
      <w:r w:rsidRPr="00874A27">
        <w:rPr>
          <w:rFonts w:ascii="Arial" w:eastAsia="Times New Roman" w:hAnsi="Arial" w:cs="Arial"/>
          <w:color w:val="000000"/>
          <w:sz w:val="19"/>
          <w:szCs w:val="19"/>
          <w:lang w:eastAsia="fr-FR"/>
        </w:rPr>
        <w:br/>
        <w:t>« Art. L. 831-2-1.-L'organisme payeur décide, selon des modalités fixées par décret, du maintien du versement de l'allocation de logement lorsque le bénéficiaire ne règle pas la part de la dépense de logement restant à sa charge. Pour les allocataires de bonne foi et dans des conditions précisées par décret, cette décision de maintien du versement de l'allocation de logement est réputée favorable. » ;</w:t>
      </w:r>
      <w:r w:rsidRPr="00874A27">
        <w:rPr>
          <w:rFonts w:ascii="Arial" w:eastAsia="Times New Roman" w:hAnsi="Arial" w:cs="Arial"/>
          <w:color w:val="000000"/>
          <w:sz w:val="19"/>
          <w:szCs w:val="19"/>
          <w:lang w:eastAsia="fr-FR"/>
        </w:rPr>
        <w:br/>
        <w:t>4° Après le troisième alinéa de l'article L. 835-2, sont insérés quatre alinéas ainsi rédigés :</w:t>
      </w:r>
      <w:r w:rsidRPr="00874A27">
        <w:rPr>
          <w:rFonts w:ascii="Arial" w:eastAsia="Times New Roman" w:hAnsi="Arial" w:cs="Arial"/>
          <w:color w:val="000000"/>
          <w:sz w:val="19"/>
          <w:szCs w:val="19"/>
          <w:lang w:eastAsia="fr-FR"/>
        </w:rPr>
        <w:br/>
        <w:t>« Si l'allocataire ne règle pas la part de la dépense de logement restant à sa charge, le bailleur ou le prêteur auprès duquel l'allocation est versée signale la situation de l'allocataire défaillant à l'organisme payeur, dans des conditions définies par décret en Conseil d'Etat.</w:t>
      </w:r>
      <w:r w:rsidRPr="00874A27">
        <w:rPr>
          <w:rFonts w:ascii="Arial" w:eastAsia="Times New Roman" w:hAnsi="Arial" w:cs="Arial"/>
          <w:color w:val="000000"/>
          <w:sz w:val="19"/>
          <w:szCs w:val="19"/>
          <w:lang w:eastAsia="fr-FR"/>
        </w:rPr>
        <w:br/>
        <w:t>« Le bailleur auprès duquel l'allocation est versée signale le déménagement de l'allocataire et la résiliation de son bail, dans un délai déterminé par décret.</w:t>
      </w:r>
      <w:r w:rsidRPr="00874A27">
        <w:rPr>
          <w:rFonts w:ascii="Arial" w:eastAsia="Times New Roman" w:hAnsi="Arial" w:cs="Arial"/>
          <w:color w:val="000000"/>
          <w:sz w:val="19"/>
          <w:szCs w:val="19"/>
          <w:lang w:eastAsia="fr-FR"/>
        </w:rPr>
        <w:br/>
        <w:t>« Si l'allocataire procède à un remboursement anticipé de son prêt, le prêteur auprès duquel l'allocation est versée signale ce remboursement anticipé à l'organisme payeur, dans un délai fixé par décret.</w:t>
      </w:r>
      <w:r w:rsidRPr="00874A27">
        <w:rPr>
          <w:rFonts w:ascii="Arial" w:eastAsia="Times New Roman" w:hAnsi="Arial" w:cs="Arial"/>
          <w:color w:val="000000"/>
          <w:sz w:val="19"/>
          <w:szCs w:val="19"/>
          <w:lang w:eastAsia="fr-FR"/>
        </w:rPr>
        <w:br/>
        <w:t>« Le bailleur ou le prêteur manquant aux obligations définies aux quatrième à sixième alinéas du présent article s'expose à la pénalité prévue à l'article L. 114-17. » ;</w:t>
      </w:r>
      <w:r w:rsidRPr="00874A27">
        <w:rPr>
          <w:rFonts w:ascii="Arial" w:eastAsia="Times New Roman" w:hAnsi="Arial" w:cs="Arial"/>
          <w:color w:val="000000"/>
          <w:sz w:val="19"/>
          <w:szCs w:val="19"/>
          <w:lang w:eastAsia="fr-FR"/>
        </w:rPr>
        <w:br/>
        <w:t>5° Au dernier alinéa de l'article L. 755-21, après la référence : « L. 542-2, », est insérée la référence : « L. 542-2-1, ».</w:t>
      </w:r>
      <w:r w:rsidRPr="00874A27">
        <w:rPr>
          <w:rFonts w:ascii="Arial" w:eastAsia="Times New Roman" w:hAnsi="Arial" w:cs="Arial"/>
          <w:color w:val="000000"/>
          <w:sz w:val="19"/>
          <w:szCs w:val="19"/>
          <w:lang w:eastAsia="fr-FR"/>
        </w:rPr>
        <w:br/>
        <w:t>VI. ― Les deuxième à </w:t>
      </w:r>
      <w:hyperlink r:id="rId155" w:history="1">
        <w:r w:rsidRPr="00874A27">
          <w:rPr>
            <w:rFonts w:ascii="Arial" w:eastAsia="Times New Roman" w:hAnsi="Arial" w:cs="Arial"/>
            <w:color w:val="336699"/>
            <w:sz w:val="19"/>
            <w:szCs w:val="19"/>
            <w:u w:val="single"/>
            <w:lang w:eastAsia="fr-FR"/>
          </w:rPr>
          <w:t>quatrième alinéas de l'article L. 351-12 du code de la construction et de l'habitation</w:t>
        </w:r>
      </w:hyperlink>
      <w:r w:rsidRPr="00874A27">
        <w:rPr>
          <w:rFonts w:ascii="Arial" w:eastAsia="Times New Roman" w:hAnsi="Arial" w:cs="Arial"/>
          <w:color w:val="000000"/>
          <w:sz w:val="19"/>
          <w:szCs w:val="19"/>
          <w:lang w:eastAsia="fr-FR"/>
        </w:rPr>
        <w:t>, le sixième alinéa du II de l'article L. 553-4 et le </w:t>
      </w:r>
      <w:hyperlink r:id="rId156" w:history="1">
        <w:r w:rsidRPr="00874A27">
          <w:rPr>
            <w:rFonts w:ascii="Arial" w:eastAsia="Times New Roman" w:hAnsi="Arial" w:cs="Arial"/>
            <w:color w:val="336699"/>
            <w:sz w:val="19"/>
            <w:szCs w:val="19"/>
            <w:u w:val="single"/>
            <w:lang w:eastAsia="fr-FR"/>
          </w:rPr>
          <w:t>septième alinéa de l'article L. 835-2 du code de la sécurité sociale</w:t>
        </w:r>
      </w:hyperlink>
      <w:r w:rsidRPr="00874A27">
        <w:rPr>
          <w:rFonts w:ascii="Arial" w:eastAsia="Times New Roman" w:hAnsi="Arial" w:cs="Arial"/>
          <w:color w:val="000000"/>
          <w:sz w:val="19"/>
          <w:szCs w:val="19"/>
          <w:lang w:eastAsia="fr-FR"/>
        </w:rPr>
        <w:t>, dans leur rédaction résultant de la présente loi, entrent en vigueur le 1er janvier 2015 et s'appliquent aux procédures engagées par les organismes payeurs à compter de cette date.</w:t>
      </w:r>
      <w:r w:rsidRPr="00874A27">
        <w:rPr>
          <w:rFonts w:ascii="Arial" w:eastAsia="Times New Roman" w:hAnsi="Arial" w:cs="Arial"/>
          <w:color w:val="000000"/>
          <w:sz w:val="19"/>
          <w:szCs w:val="19"/>
          <w:lang w:eastAsia="fr-FR"/>
        </w:rPr>
        <w:br/>
        <w:t>VII. ― L'article L. 412-4 du code des procédures civiles d'exécution est ainsi modifié :</w:t>
      </w:r>
      <w:r w:rsidRPr="00874A27">
        <w:rPr>
          <w:rFonts w:ascii="Arial" w:eastAsia="Times New Roman" w:hAnsi="Arial" w:cs="Arial"/>
          <w:color w:val="000000"/>
          <w:sz w:val="19"/>
          <w:szCs w:val="19"/>
          <w:lang w:eastAsia="fr-FR"/>
        </w:rPr>
        <w:br/>
        <w:t>1° A la première phrase, la première occurrence du mot : « un » est remplacée par le mot : « trois » et, à la fin, les mots : « un an » sont remplacés par les mots : « trois ans » ;</w:t>
      </w:r>
      <w:r w:rsidRPr="00874A27">
        <w:rPr>
          <w:rFonts w:ascii="Arial" w:eastAsia="Times New Roman" w:hAnsi="Arial" w:cs="Arial"/>
          <w:color w:val="000000"/>
          <w:sz w:val="19"/>
          <w:szCs w:val="19"/>
          <w:lang w:eastAsia="fr-FR"/>
        </w:rPr>
        <w:br/>
        <w:t>2° Est ajoutée une phrase ainsi rédigée :</w:t>
      </w:r>
      <w:r w:rsidRPr="00874A27">
        <w:rPr>
          <w:rFonts w:ascii="Arial" w:eastAsia="Times New Roman" w:hAnsi="Arial" w:cs="Arial"/>
          <w:color w:val="000000"/>
          <w:sz w:val="19"/>
          <w:szCs w:val="19"/>
          <w:lang w:eastAsia="fr-FR"/>
        </w:rPr>
        <w:br/>
        <w:t>« Il est également tenu compte du droit à un logement décent et indépendant, des délais liés aux recours engagés selon les modalités prévues aux articles </w:t>
      </w:r>
      <w:hyperlink r:id="rId157" w:history="1">
        <w:r w:rsidRPr="00874A27">
          <w:rPr>
            <w:rFonts w:ascii="Arial" w:eastAsia="Times New Roman" w:hAnsi="Arial" w:cs="Arial"/>
            <w:color w:val="336699"/>
            <w:sz w:val="19"/>
            <w:szCs w:val="19"/>
            <w:u w:val="single"/>
            <w:lang w:eastAsia="fr-FR"/>
          </w:rPr>
          <w:t>L. 441-2-3 </w:t>
        </w:r>
      </w:hyperlink>
      <w:r w:rsidRPr="00874A27">
        <w:rPr>
          <w:rFonts w:ascii="Arial" w:eastAsia="Times New Roman" w:hAnsi="Arial" w:cs="Arial"/>
          <w:color w:val="000000"/>
          <w:sz w:val="19"/>
          <w:szCs w:val="19"/>
          <w:lang w:eastAsia="fr-FR"/>
        </w:rPr>
        <w:t>et </w:t>
      </w:r>
      <w:hyperlink r:id="rId158" w:history="1">
        <w:r w:rsidRPr="00874A27">
          <w:rPr>
            <w:rFonts w:ascii="Arial" w:eastAsia="Times New Roman" w:hAnsi="Arial" w:cs="Arial"/>
            <w:color w:val="336699"/>
            <w:sz w:val="19"/>
            <w:szCs w:val="19"/>
            <w:u w:val="single"/>
            <w:lang w:eastAsia="fr-FR"/>
          </w:rPr>
          <w:t>L. 441-2-3-1 </w:t>
        </w:r>
      </w:hyperlink>
      <w:r w:rsidRPr="00874A27">
        <w:rPr>
          <w:rFonts w:ascii="Arial" w:eastAsia="Times New Roman" w:hAnsi="Arial" w:cs="Arial"/>
          <w:color w:val="000000"/>
          <w:sz w:val="19"/>
          <w:szCs w:val="19"/>
          <w:lang w:eastAsia="fr-FR"/>
        </w:rPr>
        <w:t>du code de la construction et de l'habitation et du délai prévisible de relogement des intéressés. »</w:t>
      </w:r>
    </w:p>
    <w:p w:rsidR="00874A27" w:rsidRPr="00874A27" w:rsidRDefault="00874A27" w:rsidP="00874A27">
      <w:pPr>
        <w:numPr>
          <w:ilvl w:val="2"/>
          <w:numId w:val="1"/>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2 : Renforcer le rôle des commissions de coordination des actions de prévention des expulsions locatives et assurer une meilleure articulation avec les fonds de solidarité pour le logement</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27" w:name="JORFARTI000028773377"/>
      <w:bookmarkEnd w:id="27"/>
      <w:r w:rsidRPr="00874A27">
        <w:rPr>
          <w:rFonts w:ascii="Arial" w:eastAsia="Times New Roman" w:hAnsi="Arial" w:cs="Arial"/>
          <w:b/>
          <w:bCs/>
          <w:color w:val="000000"/>
          <w:sz w:val="23"/>
          <w:szCs w:val="23"/>
          <w:lang w:eastAsia="fr-FR"/>
        </w:rPr>
        <w:t>Article 28 </w:t>
      </w:r>
      <w:hyperlink r:id="rId159" w:tooltip="En savoir plus sur l'article 2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412-5 du code des procédures civiles d'exécution est ainsi rédigé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Art. L. 412-5.-Dès le commandement d'avoir à libérer les locaux, l'huissier de justice chargé de l'exécution de la mesure d'expulsion en saisit le représentant de l'Etat dans le département afin que celui-ci en informe la commission de coordination des actions de prévention des expulsions locatives prévue à l'article 7-2 de la loi n° 90-449 du 31 mai 1990 visant à la mise en œuvre du droit au logement, et qu'il informe le ménage locataire de la possibilité de saisir la commission de médiation en vue d'une demande de relogement au titre du droit au logement opposable. A défaut de saisine du représentant de l'Etat dans le département par l'huissier, le délai avant l'expiration duquel l'expulsion ne peut avoir lieu est suspendu.</w:t>
      </w:r>
      <w:r w:rsidRPr="00874A27">
        <w:rPr>
          <w:rFonts w:ascii="Arial" w:eastAsia="Times New Roman" w:hAnsi="Arial" w:cs="Arial"/>
          <w:color w:val="000000"/>
          <w:sz w:val="19"/>
          <w:szCs w:val="19"/>
          <w:lang w:eastAsia="fr-FR"/>
        </w:rPr>
        <w:br/>
        <w:t>« La saisine du représentant de l'Etat dans le département par l'huissier et l'information de la commission de coordination des actions de prévention des expulsions locatives par le représentant de l'Etat dans le département peuvent s'effectuer par voie électronique, selon des modalités fixées par décret. »</w:t>
      </w:r>
      <w:r w:rsidRPr="00874A27">
        <w:rPr>
          <w:rFonts w:ascii="Arial" w:eastAsia="Times New Roman" w:hAnsi="Arial" w:cs="Arial"/>
          <w:color w:val="000000"/>
          <w:sz w:val="19"/>
          <w:szCs w:val="19"/>
          <w:lang w:eastAsia="fr-FR"/>
        </w:rPr>
        <w:br/>
        <w:t>II. ― La loi n° 90-449 du 31 mai 1990 visant à la mise en œuvre du droit au logement est ainsi modifiée :</w:t>
      </w:r>
      <w:r w:rsidRPr="00874A27">
        <w:rPr>
          <w:rFonts w:ascii="Arial" w:eastAsia="Times New Roman" w:hAnsi="Arial" w:cs="Arial"/>
          <w:color w:val="000000"/>
          <w:sz w:val="19"/>
          <w:szCs w:val="19"/>
          <w:lang w:eastAsia="fr-FR"/>
        </w:rPr>
        <w:br/>
        <w:t>1° L'article 7-1 est ainsi rédigé :</w:t>
      </w:r>
      <w:r w:rsidRPr="00874A27">
        <w:rPr>
          <w:rFonts w:ascii="Arial" w:eastAsia="Times New Roman" w:hAnsi="Arial" w:cs="Arial"/>
          <w:color w:val="000000"/>
          <w:sz w:val="19"/>
          <w:szCs w:val="19"/>
          <w:lang w:eastAsia="fr-FR"/>
        </w:rPr>
        <w:br/>
        <w:t>« Art. 7-1.-Afin d'organiser le traitement coordonné des situations d'expulsion locative, une charte pour la prévention de l'expulsion est élaborée dans chaque département avec l'ensemble des partenaires concernés.</w:t>
      </w:r>
      <w:r w:rsidRPr="00874A27">
        <w:rPr>
          <w:rFonts w:ascii="Arial" w:eastAsia="Times New Roman" w:hAnsi="Arial" w:cs="Arial"/>
          <w:color w:val="000000"/>
          <w:sz w:val="19"/>
          <w:szCs w:val="19"/>
          <w:lang w:eastAsia="fr-FR"/>
        </w:rPr>
        <w:br/>
        <w:t>« Cette charte est approuvée par le comité responsable du plan départemental d'action pour le logement et l'hébergement des personnes défavorisées et fait l'objet d'une évaluation annuelle devant ce même comité ainsi que devant la commission de coordination des actions de prévention des expulsions locatives.</w:t>
      </w:r>
      <w:r w:rsidRPr="00874A27">
        <w:rPr>
          <w:rFonts w:ascii="Arial" w:eastAsia="Times New Roman" w:hAnsi="Arial" w:cs="Arial"/>
          <w:color w:val="000000"/>
          <w:sz w:val="19"/>
          <w:szCs w:val="19"/>
          <w:lang w:eastAsia="fr-FR"/>
        </w:rPr>
        <w:br/>
        <w:t>« Un décret fixe la liste des dispositions appelées à figurer dans la charte. » ;</w:t>
      </w:r>
      <w:r w:rsidRPr="00874A27">
        <w:rPr>
          <w:rFonts w:ascii="Arial" w:eastAsia="Times New Roman" w:hAnsi="Arial" w:cs="Arial"/>
          <w:color w:val="000000"/>
          <w:sz w:val="19"/>
          <w:szCs w:val="19"/>
          <w:lang w:eastAsia="fr-FR"/>
        </w:rPr>
        <w:br/>
        <w:t>2° Après l'article 7-1, est inséré un article 7-2 ainsi rédigé :</w:t>
      </w:r>
      <w:r w:rsidRPr="00874A27">
        <w:rPr>
          <w:rFonts w:ascii="Arial" w:eastAsia="Times New Roman" w:hAnsi="Arial" w:cs="Arial"/>
          <w:color w:val="000000"/>
          <w:sz w:val="19"/>
          <w:szCs w:val="19"/>
          <w:lang w:eastAsia="fr-FR"/>
        </w:rPr>
        <w:br/>
        <w:t>« Art. 7-2.-Une commission de coordination des actions de prévention des expulsions locatives est créée dans chaque département. Cette commission a pour missions de :</w:t>
      </w:r>
      <w:r w:rsidRPr="00874A27">
        <w:rPr>
          <w:rFonts w:ascii="Arial" w:eastAsia="Times New Roman" w:hAnsi="Arial" w:cs="Arial"/>
          <w:color w:val="000000"/>
          <w:sz w:val="19"/>
          <w:szCs w:val="19"/>
          <w:lang w:eastAsia="fr-FR"/>
        </w:rPr>
        <w:br/>
        <w:t>« 1° Coordonner, évaluer et orienter le dispositif de prévention des expulsions locatives défini par le plan départemental d'action pour le logement et l'hébergement des personnes défavorisées et la charte pour la prévention de l'expulsion ;</w:t>
      </w:r>
      <w:r w:rsidRPr="00874A27">
        <w:rPr>
          <w:rFonts w:ascii="Arial" w:eastAsia="Times New Roman" w:hAnsi="Arial" w:cs="Arial"/>
          <w:color w:val="000000"/>
          <w:sz w:val="19"/>
          <w:szCs w:val="19"/>
          <w:lang w:eastAsia="fr-FR"/>
        </w:rPr>
        <w:br/>
        <w:t>« 2° Délivrer des avis et des recommandations à tout organisme ou personne susceptible de participer à la prévention de l'expulsion, ainsi qu'aux bailleurs et aux locataires concernés par une situation d'impayé ou de menace d'expulsion.</w:t>
      </w:r>
      <w:r w:rsidRPr="00874A27">
        <w:rPr>
          <w:rFonts w:ascii="Arial" w:eastAsia="Times New Roman" w:hAnsi="Arial" w:cs="Arial"/>
          <w:color w:val="000000"/>
          <w:sz w:val="19"/>
          <w:szCs w:val="19"/>
          <w:lang w:eastAsia="fr-FR"/>
        </w:rPr>
        <w:br/>
        <w:t>« Pour l'exercice de cette seconde mission, elle est informée par le représentant de l'Etat dans le département des situations faisant l'objet d'un commandement d'avoir à libérer les locaux lui ayant été signalés conformément à l'article L. 412-5 du code des procédures civiles d'exécution.</w:t>
      </w:r>
      <w:r w:rsidRPr="00874A27">
        <w:rPr>
          <w:rFonts w:ascii="Arial" w:eastAsia="Times New Roman" w:hAnsi="Arial" w:cs="Arial"/>
          <w:color w:val="000000"/>
          <w:sz w:val="19"/>
          <w:szCs w:val="19"/>
          <w:lang w:eastAsia="fr-FR"/>
        </w:rPr>
        <w:br/>
        <w:t>« Elle peut être saisie par un de ses membres, par le bailleur, par le locataire et par toute institution ou personne y ayant intérêt ou vocation.</w:t>
      </w:r>
      <w:r w:rsidRPr="00874A27">
        <w:rPr>
          <w:rFonts w:ascii="Arial" w:eastAsia="Times New Roman" w:hAnsi="Arial" w:cs="Arial"/>
          <w:color w:val="000000"/>
          <w:sz w:val="19"/>
          <w:szCs w:val="19"/>
          <w:lang w:eastAsia="fr-FR"/>
        </w:rPr>
        <w:br/>
        <w:t>« Elle est alertée par :</w:t>
      </w:r>
      <w:r w:rsidRPr="00874A27">
        <w:rPr>
          <w:rFonts w:ascii="Arial" w:eastAsia="Times New Roman" w:hAnsi="Arial" w:cs="Arial"/>
          <w:color w:val="000000"/>
          <w:sz w:val="19"/>
          <w:szCs w:val="19"/>
          <w:lang w:eastAsia="fr-FR"/>
        </w:rPr>
        <w:br/>
        <w:t>« a) La commission de médiation, pour tout recours amiable au titre du droit au logement opposable fondé sur le motif de la menace d'expulsion sans relogement ;</w:t>
      </w:r>
      <w:r w:rsidRPr="00874A27">
        <w:rPr>
          <w:rFonts w:ascii="Arial" w:eastAsia="Times New Roman" w:hAnsi="Arial" w:cs="Arial"/>
          <w:color w:val="000000"/>
          <w:sz w:val="19"/>
          <w:szCs w:val="19"/>
          <w:lang w:eastAsia="fr-FR"/>
        </w:rPr>
        <w:br/>
        <w:t>« b) Les organismes payeurs des aides au logement, systématiquement, en vue de prévenir leurs éventuelles suspensions par une mobilisation coordonnée des outils de prévention ;</w:t>
      </w:r>
      <w:r w:rsidRPr="00874A27">
        <w:rPr>
          <w:rFonts w:ascii="Arial" w:eastAsia="Times New Roman" w:hAnsi="Arial" w:cs="Arial"/>
          <w:color w:val="000000"/>
          <w:sz w:val="19"/>
          <w:szCs w:val="19"/>
          <w:lang w:eastAsia="fr-FR"/>
        </w:rPr>
        <w:br/>
        <w:t>« c) Le fonds de solidarité pour le logement, lorsque son aide ne pourrait pas, à elle seule, permettre le maintien dans les lieux ou le relogement du locataire.</w:t>
      </w:r>
      <w:r w:rsidRPr="00874A27">
        <w:rPr>
          <w:rFonts w:ascii="Arial" w:eastAsia="Times New Roman" w:hAnsi="Arial" w:cs="Arial"/>
          <w:color w:val="000000"/>
          <w:sz w:val="19"/>
          <w:szCs w:val="19"/>
          <w:lang w:eastAsia="fr-FR"/>
        </w:rPr>
        <w:br/>
        <w:t>« La commission émet également des avis et des recommandations en matière d'attribution d'aides financières sous forme de prêts ou de subventions et d'accompagnement social lié au logement, suivant la répartition des responsabilités prévue par la charte de prévention de l'expulsion.</w:t>
      </w:r>
      <w:r w:rsidRPr="00874A27">
        <w:rPr>
          <w:rFonts w:ascii="Arial" w:eastAsia="Times New Roman" w:hAnsi="Arial" w:cs="Arial"/>
          <w:color w:val="000000"/>
          <w:sz w:val="19"/>
          <w:szCs w:val="19"/>
          <w:lang w:eastAsia="fr-FR"/>
        </w:rPr>
        <w:br/>
        <w:t>« Le représentant de l'Etat dans le département informe la commission de toute demande de concours de la force publique mentionné au chapitre III du titre V du livre Ier du code des procédures civiles d'exécution en vue de procéder à l'expulsion.</w:t>
      </w:r>
      <w:r w:rsidRPr="00874A27">
        <w:rPr>
          <w:rFonts w:ascii="Arial" w:eastAsia="Times New Roman" w:hAnsi="Arial" w:cs="Arial"/>
          <w:color w:val="000000"/>
          <w:sz w:val="19"/>
          <w:szCs w:val="19"/>
          <w:lang w:eastAsia="fr-FR"/>
        </w:rPr>
        <w:br/>
        <w:t>« La commission est informée des décisions prises à la suite de ses avis. Elle est destinataire du diagnostic social et financier mentionné au </w:t>
      </w:r>
      <w:hyperlink r:id="rId160" w:history="1">
        <w:r w:rsidRPr="00874A27">
          <w:rPr>
            <w:rFonts w:ascii="Arial" w:eastAsia="Times New Roman" w:hAnsi="Arial" w:cs="Arial"/>
            <w:color w:val="336699"/>
            <w:sz w:val="19"/>
            <w:szCs w:val="19"/>
            <w:u w:val="single"/>
            <w:lang w:eastAsia="fr-FR"/>
          </w:rPr>
          <w:t>III de l'article 24 de la loi n° 89-462 du 6 juillet 1989 </w:t>
        </w:r>
      </w:hyperlink>
      <w:r w:rsidRPr="00874A27">
        <w:rPr>
          <w:rFonts w:ascii="Arial" w:eastAsia="Times New Roman" w:hAnsi="Arial" w:cs="Arial"/>
          <w:color w:val="000000"/>
          <w:sz w:val="19"/>
          <w:szCs w:val="19"/>
          <w:lang w:eastAsia="fr-FR"/>
        </w:rPr>
        <w:t>tendant à améliorer les rapports locatifs et portant modification de la </w:t>
      </w:r>
      <w:hyperlink r:id="rId161"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Les membres de la commission de coordination des actions de prévention des expulsions locatives et les personnes chargées de l'instruction des saisines sont soumis au secret professionnel dans les conditions prévues à l'</w:t>
      </w:r>
      <w:hyperlink r:id="rId162" w:history="1">
        <w:r w:rsidRPr="00874A27">
          <w:rPr>
            <w:rFonts w:ascii="Arial" w:eastAsia="Times New Roman" w:hAnsi="Arial" w:cs="Arial"/>
            <w:color w:val="336699"/>
            <w:sz w:val="19"/>
            <w:szCs w:val="19"/>
            <w:u w:val="single"/>
            <w:lang w:eastAsia="fr-FR"/>
          </w:rPr>
          <w:t>article 226-13 du code pénal</w:t>
        </w:r>
      </w:hyperlink>
      <w:r w:rsidRPr="00874A27">
        <w:rPr>
          <w:rFonts w:ascii="Arial" w:eastAsia="Times New Roman" w:hAnsi="Arial" w:cs="Arial"/>
          <w:color w:val="000000"/>
          <w:sz w:val="19"/>
          <w:szCs w:val="19"/>
          <w:lang w:eastAsia="fr-FR"/>
        </w:rPr>
        <w:t>. Par dérogation aux dispositions de ce même article, les professionnels de l'action sociale et médico-sociale, définie à l'</w:t>
      </w:r>
      <w:hyperlink r:id="rId163" w:history="1">
        <w:r w:rsidRPr="00874A27">
          <w:rPr>
            <w:rFonts w:ascii="Arial" w:eastAsia="Times New Roman" w:hAnsi="Arial" w:cs="Arial"/>
            <w:color w:val="336699"/>
            <w:sz w:val="19"/>
            <w:szCs w:val="19"/>
            <w:u w:val="single"/>
            <w:lang w:eastAsia="fr-FR"/>
          </w:rPr>
          <w:t>article L. 116-1 du code de l'action sociale et des familles</w:t>
        </w:r>
      </w:hyperlink>
      <w:r w:rsidRPr="00874A27">
        <w:rPr>
          <w:rFonts w:ascii="Arial" w:eastAsia="Times New Roman" w:hAnsi="Arial" w:cs="Arial"/>
          <w:color w:val="000000"/>
          <w:sz w:val="19"/>
          <w:szCs w:val="19"/>
          <w:lang w:eastAsia="fr-FR"/>
        </w:rPr>
        <w:t>, fournissent aux services instructeurs de la commission les informations confidentielles dont ils disposent et qui sont strictement nécessaires à l'évaluation de la situation du ménage au regard de la menace d'expulsion dont il fait l'objet.</w:t>
      </w:r>
      <w:r w:rsidRPr="00874A27">
        <w:rPr>
          <w:rFonts w:ascii="Arial" w:eastAsia="Times New Roman" w:hAnsi="Arial" w:cs="Arial"/>
          <w:color w:val="000000"/>
          <w:sz w:val="19"/>
          <w:szCs w:val="19"/>
          <w:lang w:eastAsia="fr-FR"/>
        </w:rPr>
        <w:br/>
        <w:t>« La composition et les modalités de fonctionnement de la commission, notamment du système d'information qui en permet la gestion, sont fixées par décret en Conseil d'Etat.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III. ― L'article 121 de la loi n° 98-657 du 29 juillet 1998 d'orientation relative à la lutte contre les exclusions est abrogé.</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8" w:name="JORFARTI000028773389"/>
      <w:bookmarkEnd w:id="28"/>
      <w:r w:rsidRPr="00874A27">
        <w:rPr>
          <w:rFonts w:ascii="Arial" w:eastAsia="Times New Roman" w:hAnsi="Arial" w:cs="Arial"/>
          <w:b/>
          <w:bCs/>
          <w:color w:val="000000"/>
          <w:sz w:val="23"/>
          <w:szCs w:val="23"/>
          <w:lang w:eastAsia="fr-FR"/>
        </w:rPr>
        <w:t>Article 29 </w:t>
      </w:r>
      <w:hyperlink r:id="rId164" w:tooltip="En savoir plus sur l'article 2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Un rapport du Gouvernement sur les modalités de calcul du montant des aides personnelles au logement prenant en compte la moyenne des ressources perçues au cours des trois derniers mois précédant la demande est transmis au Parlement avant la fin de l'année 2014.</w:t>
      </w:r>
    </w:p>
    <w:p w:rsidR="00874A27" w:rsidRPr="00874A27" w:rsidRDefault="00874A27" w:rsidP="00874A27">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V : Faciliter les parcours de l'hébergement au logement</w:t>
      </w:r>
    </w:p>
    <w:p w:rsidR="00874A27" w:rsidRPr="00874A27" w:rsidRDefault="00874A27" w:rsidP="00874A27">
      <w:pPr>
        <w:numPr>
          <w:ilvl w:val="2"/>
          <w:numId w:val="1"/>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1 : Accueil, hébergement et accompagnement vers le logement</w:t>
      </w:r>
    </w:p>
    <w:p w:rsidR="00874A27" w:rsidRPr="00874A27" w:rsidRDefault="00874A27" w:rsidP="00874A27">
      <w:pPr>
        <w:numPr>
          <w:ilvl w:val="3"/>
          <w:numId w:val="1"/>
        </w:numPr>
        <w:shd w:val="clear" w:color="auto" w:fill="FFFFFF"/>
        <w:spacing w:before="100" w:beforeAutospacing="1" w:after="100" w:afterAutospacing="1" w:line="240" w:lineRule="auto"/>
        <w:ind w:left="72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Sous-section 1 : Consacrer juridiquement les services intégrés d'accueil et d'orientation</w:t>
      </w:r>
    </w:p>
    <w:p w:rsidR="00874A27" w:rsidRPr="00874A27" w:rsidRDefault="00874A27" w:rsidP="00874A27">
      <w:pPr>
        <w:shd w:val="clear" w:color="auto" w:fill="FFFFFF"/>
        <w:spacing w:before="100" w:beforeAutospacing="1" w:after="100" w:afterAutospacing="1" w:line="240" w:lineRule="auto"/>
        <w:ind w:left="720"/>
        <w:jc w:val="center"/>
        <w:rPr>
          <w:rFonts w:ascii="Arial" w:eastAsia="Times New Roman" w:hAnsi="Arial" w:cs="Arial"/>
          <w:b/>
          <w:bCs/>
          <w:color w:val="000000"/>
          <w:sz w:val="23"/>
          <w:szCs w:val="23"/>
          <w:lang w:eastAsia="fr-FR"/>
        </w:rPr>
      </w:pPr>
      <w:bookmarkStart w:id="29" w:name="JORFARTI000028774821"/>
      <w:bookmarkEnd w:id="29"/>
      <w:r w:rsidRPr="00874A27">
        <w:rPr>
          <w:rFonts w:ascii="Arial" w:eastAsia="Times New Roman" w:hAnsi="Arial" w:cs="Arial"/>
          <w:b/>
          <w:bCs/>
          <w:color w:val="000000"/>
          <w:sz w:val="23"/>
          <w:szCs w:val="23"/>
          <w:lang w:eastAsia="fr-FR"/>
        </w:rPr>
        <w:t>Article 30 </w:t>
      </w:r>
      <w:hyperlink r:id="rId165" w:tooltip="En savoir plus sur l'article 3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chapitre V du titre IV du livre III du code de l'action sociale et des familles est ainsi modifié :</w:t>
      </w:r>
      <w:r w:rsidRPr="00874A27">
        <w:rPr>
          <w:rFonts w:ascii="Arial" w:eastAsia="Times New Roman" w:hAnsi="Arial" w:cs="Arial"/>
          <w:color w:val="000000"/>
          <w:sz w:val="19"/>
          <w:szCs w:val="19"/>
          <w:lang w:eastAsia="fr-FR"/>
        </w:rPr>
        <w:br/>
        <w:t>1° L'article L. 345-2 est ainsi modifié :</w:t>
      </w:r>
      <w:r w:rsidRPr="00874A27">
        <w:rPr>
          <w:rFonts w:ascii="Arial" w:eastAsia="Times New Roman" w:hAnsi="Arial" w:cs="Arial"/>
          <w:color w:val="000000"/>
          <w:sz w:val="19"/>
          <w:szCs w:val="19"/>
          <w:lang w:eastAsia="fr-FR"/>
        </w:rPr>
        <w:br/>
        <w:t>a) Le premier alinéa est complété par une phrase ainsi rédigée :</w:t>
      </w:r>
      <w:r w:rsidRPr="00874A27">
        <w:rPr>
          <w:rFonts w:ascii="Arial" w:eastAsia="Times New Roman" w:hAnsi="Arial" w:cs="Arial"/>
          <w:color w:val="000000"/>
          <w:sz w:val="19"/>
          <w:szCs w:val="19"/>
          <w:lang w:eastAsia="fr-FR"/>
        </w:rPr>
        <w:br/>
        <w:t>« Cette orientation est assurée par un service intégré d'accueil et d'orientation, dans les conditions définies par la convention conclue avec le représentant de l'Etat dans le département prévue à l'article L. 345-2-4. » ;</w:t>
      </w:r>
      <w:r w:rsidRPr="00874A27">
        <w:rPr>
          <w:rFonts w:ascii="Arial" w:eastAsia="Times New Roman" w:hAnsi="Arial" w:cs="Arial"/>
          <w:color w:val="000000"/>
          <w:sz w:val="19"/>
          <w:szCs w:val="19"/>
          <w:lang w:eastAsia="fr-FR"/>
        </w:rPr>
        <w:br/>
        <w:t>b) Les deux derniers alinéas sont supprimés ;</w:t>
      </w:r>
      <w:r w:rsidRPr="00874A27">
        <w:rPr>
          <w:rFonts w:ascii="Arial" w:eastAsia="Times New Roman" w:hAnsi="Arial" w:cs="Arial"/>
          <w:color w:val="000000"/>
          <w:sz w:val="19"/>
          <w:szCs w:val="19"/>
          <w:lang w:eastAsia="fr-FR"/>
        </w:rPr>
        <w:br/>
        <w:t>2° Après l'article L. 345-2-3, sont insérés des articles L. 345-2-4 à L. 345-2-11 ainsi rédigés :</w:t>
      </w:r>
      <w:r w:rsidRPr="00874A27">
        <w:rPr>
          <w:rFonts w:ascii="Arial" w:eastAsia="Times New Roman" w:hAnsi="Arial" w:cs="Arial"/>
          <w:color w:val="000000"/>
          <w:sz w:val="19"/>
          <w:szCs w:val="19"/>
          <w:lang w:eastAsia="fr-FR"/>
        </w:rPr>
        <w:br/>
        <w:t>« Art. L. 345-2-4.-Afin d'assurer le meilleur traitement de l'ensemble des demandes d'hébergement et de logement formées par les personnes ou familles sans domicile ou éprouvant des difficultés particulières, en raison de l'inadaptation de leurs ressources ou de leurs conditions d'existence, pour accéder par leurs propres moyens à un logement décent et indépendant et d'améliorer la fluidité entre ces deux secteurs, une convention est conclue dans chaque département entre l'Etat et une personne morale pour assurer un service intégré d'accueil et d'orientation qui a pour missions, sur le territoire départemental :</w:t>
      </w:r>
      <w:r w:rsidRPr="00874A27">
        <w:rPr>
          <w:rFonts w:ascii="Arial" w:eastAsia="Times New Roman" w:hAnsi="Arial" w:cs="Arial"/>
          <w:color w:val="000000"/>
          <w:sz w:val="19"/>
          <w:szCs w:val="19"/>
          <w:lang w:eastAsia="fr-FR"/>
        </w:rPr>
        <w:br/>
        <w:t>« 1° De recenser toutes les places d'hébergement, les logements en résidence sociale ainsi que les logements des organismes qui exercent les activités d'intermédiation locative ;</w:t>
      </w:r>
      <w:r w:rsidRPr="00874A27">
        <w:rPr>
          <w:rFonts w:ascii="Arial" w:eastAsia="Times New Roman" w:hAnsi="Arial" w:cs="Arial"/>
          <w:color w:val="000000"/>
          <w:sz w:val="19"/>
          <w:szCs w:val="19"/>
          <w:lang w:eastAsia="fr-FR"/>
        </w:rPr>
        <w:br/>
        <w:t>« 2° De gérer le service d'appel téléphonique pour les personnes ou familles mentionnées au premier alinéa ;</w:t>
      </w:r>
      <w:r w:rsidRPr="00874A27">
        <w:rPr>
          <w:rFonts w:ascii="Arial" w:eastAsia="Times New Roman" w:hAnsi="Arial" w:cs="Arial"/>
          <w:color w:val="000000"/>
          <w:sz w:val="19"/>
          <w:szCs w:val="19"/>
          <w:lang w:eastAsia="fr-FR"/>
        </w:rPr>
        <w:br/>
        <w:t>« 3° De veiller à la réalisation d'une évaluation sociale, médicale et psychique des personnes ou familles mentionnées au même premier alinéa, de traiter équitablement leurs demandes et de leur faire des propositions d'orientation adaptées à leurs besoins, transmises aux organismes susceptibles d'y satisfaire ;</w:t>
      </w:r>
      <w:r w:rsidRPr="00874A27">
        <w:rPr>
          <w:rFonts w:ascii="Arial" w:eastAsia="Times New Roman" w:hAnsi="Arial" w:cs="Arial"/>
          <w:color w:val="000000"/>
          <w:sz w:val="19"/>
          <w:szCs w:val="19"/>
          <w:lang w:eastAsia="fr-FR"/>
        </w:rPr>
        <w:br/>
        <w:t>« 4° De suivre le parcours des personnes ou familles mentionnées audit premier alinéa prises en charge, jusqu'à la stabilisation de leur situation ;</w:t>
      </w:r>
      <w:r w:rsidRPr="00874A27">
        <w:rPr>
          <w:rFonts w:ascii="Arial" w:eastAsia="Times New Roman" w:hAnsi="Arial" w:cs="Arial"/>
          <w:color w:val="000000"/>
          <w:sz w:val="19"/>
          <w:szCs w:val="19"/>
          <w:lang w:eastAsia="fr-FR"/>
        </w:rPr>
        <w:br/>
        <w:t>« 5° De contribuer à l'identification des personnes en demande d'un logement, si besoin avec un accompagnement social ;</w:t>
      </w:r>
      <w:r w:rsidRPr="00874A27">
        <w:rPr>
          <w:rFonts w:ascii="Arial" w:eastAsia="Times New Roman" w:hAnsi="Arial" w:cs="Arial"/>
          <w:color w:val="000000"/>
          <w:sz w:val="19"/>
          <w:szCs w:val="19"/>
          <w:lang w:eastAsia="fr-FR"/>
        </w:rPr>
        <w:br/>
        <w:t>« 6° D'assurer la coordination des personnes concourant au dispositif de veille sociale prévu à l'article L. 345-2 et, lorsque la convention prévue au premier alinéa du présent article le prévoit, la coordination des acteurs mentionnés à l'article L. 345-2-6 ;</w:t>
      </w:r>
      <w:r w:rsidRPr="00874A27">
        <w:rPr>
          <w:rFonts w:ascii="Arial" w:eastAsia="Times New Roman" w:hAnsi="Arial" w:cs="Arial"/>
          <w:color w:val="000000"/>
          <w:sz w:val="19"/>
          <w:szCs w:val="19"/>
          <w:lang w:eastAsia="fr-FR"/>
        </w:rPr>
        <w:br/>
        <w:t>« 7° De produire les données statistiques d'activité, de suivi et de pilotage du dispositif d'accueil, d'hébergement et d'accompagnement vers l'insertion et le logement ;</w:t>
      </w:r>
      <w:r w:rsidRPr="00874A27">
        <w:rPr>
          <w:rFonts w:ascii="Arial" w:eastAsia="Times New Roman" w:hAnsi="Arial" w:cs="Arial"/>
          <w:color w:val="000000"/>
          <w:sz w:val="19"/>
          <w:szCs w:val="19"/>
          <w:lang w:eastAsia="fr-FR"/>
        </w:rPr>
        <w:br/>
        <w:t>« 8° De participer à l'observation sociale.</w:t>
      </w:r>
      <w:r w:rsidRPr="00874A27">
        <w:rPr>
          <w:rFonts w:ascii="Arial" w:eastAsia="Times New Roman" w:hAnsi="Arial" w:cs="Arial"/>
          <w:color w:val="000000"/>
          <w:sz w:val="19"/>
          <w:szCs w:val="19"/>
          <w:lang w:eastAsia="fr-FR"/>
        </w:rPr>
        <w:br/>
        <w:t>« Art. L. 345-2-5.-La convention prévue à l'article L. 345-2-4 comporte notamment :</w:t>
      </w:r>
      <w:r w:rsidRPr="00874A27">
        <w:rPr>
          <w:rFonts w:ascii="Arial" w:eastAsia="Times New Roman" w:hAnsi="Arial" w:cs="Arial"/>
          <w:color w:val="000000"/>
          <w:sz w:val="19"/>
          <w:szCs w:val="19"/>
          <w:lang w:eastAsia="fr-FR"/>
        </w:rPr>
        <w:br/>
        <w:t>« 1° Les engagements de la personne morale gérant le service intégré d'accueil et d'orientation en matière d'objectifs et d'information du représentant de l'Etat et de coopération avec les services intégrés d'accueil et d'orientation d'autres départements ;</w:t>
      </w:r>
      <w:r w:rsidRPr="00874A27">
        <w:rPr>
          <w:rFonts w:ascii="Arial" w:eastAsia="Times New Roman" w:hAnsi="Arial" w:cs="Arial"/>
          <w:color w:val="000000"/>
          <w:sz w:val="19"/>
          <w:szCs w:val="19"/>
          <w:lang w:eastAsia="fr-FR"/>
        </w:rPr>
        <w:br/>
        <w:t>« 2° Les modalités de suivi de l'activité du service ;</w:t>
      </w:r>
      <w:r w:rsidRPr="00874A27">
        <w:rPr>
          <w:rFonts w:ascii="Arial" w:eastAsia="Times New Roman" w:hAnsi="Arial" w:cs="Arial"/>
          <w:color w:val="000000"/>
          <w:sz w:val="19"/>
          <w:szCs w:val="19"/>
          <w:lang w:eastAsia="fr-FR"/>
        </w:rPr>
        <w:br/>
        <w:t xml:space="preserve">« 3° Les modalités de participation à la gouvernance du service des personnes prises en charge ou ayant été prises en charge dans le cadre du dispositif d'accueil, d'hébergement et </w:t>
      </w:r>
      <w:r w:rsidRPr="00874A27">
        <w:rPr>
          <w:rFonts w:ascii="Arial" w:eastAsia="Times New Roman" w:hAnsi="Arial" w:cs="Arial"/>
          <w:color w:val="000000"/>
          <w:sz w:val="19"/>
          <w:szCs w:val="19"/>
          <w:lang w:eastAsia="fr-FR"/>
        </w:rPr>
        <w:lastRenderedPageBreak/>
        <w:t>d'accompagnement vers l'insertion et le logement ;</w:t>
      </w:r>
      <w:r w:rsidRPr="00874A27">
        <w:rPr>
          <w:rFonts w:ascii="Arial" w:eastAsia="Times New Roman" w:hAnsi="Arial" w:cs="Arial"/>
          <w:color w:val="000000"/>
          <w:sz w:val="19"/>
          <w:szCs w:val="19"/>
          <w:lang w:eastAsia="fr-FR"/>
        </w:rPr>
        <w:br/>
        <w:t>« 4° Le cas échéant, les modalités d'organisation spécifiques du service eu égard aux caractéristiques et contraintes particulières propres au département ;</w:t>
      </w:r>
      <w:r w:rsidRPr="00874A27">
        <w:rPr>
          <w:rFonts w:ascii="Arial" w:eastAsia="Times New Roman" w:hAnsi="Arial" w:cs="Arial"/>
          <w:color w:val="000000"/>
          <w:sz w:val="19"/>
          <w:szCs w:val="19"/>
          <w:lang w:eastAsia="fr-FR"/>
        </w:rPr>
        <w:br/>
        <w:t>« 5° Les financements accordés par l'Etat.</w:t>
      </w:r>
      <w:r w:rsidRPr="00874A27">
        <w:rPr>
          <w:rFonts w:ascii="Arial" w:eastAsia="Times New Roman" w:hAnsi="Arial" w:cs="Arial"/>
          <w:color w:val="000000"/>
          <w:sz w:val="19"/>
          <w:szCs w:val="19"/>
          <w:lang w:eastAsia="fr-FR"/>
        </w:rPr>
        <w:br/>
        <w:t>« Art. L. 345-2-6.-Pour l'exercice de ses missions, le service intégré d'accueil et d'orientation peut passer des conventions avec :</w:t>
      </w:r>
      <w:r w:rsidRPr="00874A27">
        <w:rPr>
          <w:rFonts w:ascii="Arial" w:eastAsia="Times New Roman" w:hAnsi="Arial" w:cs="Arial"/>
          <w:color w:val="000000"/>
          <w:sz w:val="19"/>
          <w:szCs w:val="19"/>
          <w:lang w:eastAsia="fr-FR"/>
        </w:rPr>
        <w:br/>
        <w:t>« 1° Les personnes morales de droit public ou de droit privé concourant au dispositif de veille sociale prévu à l'article L. 345-2 ;</w:t>
      </w:r>
      <w:r w:rsidRPr="00874A27">
        <w:rPr>
          <w:rFonts w:ascii="Arial" w:eastAsia="Times New Roman" w:hAnsi="Arial" w:cs="Arial"/>
          <w:color w:val="000000"/>
          <w:sz w:val="19"/>
          <w:szCs w:val="19"/>
          <w:lang w:eastAsia="fr-FR"/>
        </w:rPr>
        <w:br/>
        <w:t>« 2° Les personnes morales de droit public ou de droit privé assurant l'accueil, l'évaluation, le soutien, l'hébergement ou l'accompagnement des personnes ou familles mentionnées au premier alinéa de l'article L. 345-2-4 ;</w:t>
      </w:r>
      <w:r w:rsidRPr="00874A27">
        <w:rPr>
          <w:rFonts w:ascii="Arial" w:eastAsia="Times New Roman" w:hAnsi="Arial" w:cs="Arial"/>
          <w:color w:val="000000"/>
          <w:sz w:val="19"/>
          <w:szCs w:val="19"/>
          <w:lang w:eastAsia="fr-FR"/>
        </w:rPr>
        <w:br/>
        <w:t>« 3° Les organismes bénéficiant de l'aide pour loger à titre temporaire des personnes défavorisées mentionnés à l'</w:t>
      </w:r>
      <w:hyperlink r:id="rId166" w:history="1">
        <w:r w:rsidRPr="00874A27">
          <w:rPr>
            <w:rFonts w:ascii="Arial" w:eastAsia="Times New Roman" w:hAnsi="Arial" w:cs="Arial"/>
            <w:color w:val="336699"/>
            <w:sz w:val="19"/>
            <w:szCs w:val="19"/>
            <w:u w:val="single"/>
            <w:lang w:eastAsia="fr-FR"/>
          </w:rPr>
          <w:t>article L. 851-1 du code de la sécurité sociale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4° Les organismes qui exercent les activités d'intermédiation locative et de gestion locative sociale prévus à l'</w:t>
      </w:r>
      <w:hyperlink r:id="rId167" w:history="1">
        <w:r w:rsidRPr="00874A27">
          <w:rPr>
            <w:rFonts w:ascii="Arial" w:eastAsia="Times New Roman" w:hAnsi="Arial" w:cs="Arial"/>
            <w:color w:val="336699"/>
            <w:sz w:val="19"/>
            <w:szCs w:val="19"/>
            <w:u w:val="single"/>
            <w:lang w:eastAsia="fr-FR"/>
          </w:rPr>
          <w:t>article L. 365-4 du code de la construction et de l'habitation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5° Les logements-foyers mentionnés à l'article L. 633-1 du même code accueillant les personnes ou familles mentionnées au premier alinéa de l'article L. 345-2-4 du présent code ;</w:t>
      </w:r>
      <w:r w:rsidRPr="00874A27">
        <w:rPr>
          <w:rFonts w:ascii="Arial" w:eastAsia="Times New Roman" w:hAnsi="Arial" w:cs="Arial"/>
          <w:color w:val="000000"/>
          <w:sz w:val="19"/>
          <w:szCs w:val="19"/>
          <w:lang w:eastAsia="fr-FR"/>
        </w:rPr>
        <w:br/>
        <w:t>« 6° Les résidences hôtelières à vocation sociale prévues à l'</w:t>
      </w:r>
      <w:hyperlink r:id="rId168" w:history="1">
        <w:r w:rsidRPr="00874A27">
          <w:rPr>
            <w:rFonts w:ascii="Arial" w:eastAsia="Times New Roman" w:hAnsi="Arial" w:cs="Arial"/>
            <w:color w:val="336699"/>
            <w:sz w:val="19"/>
            <w:szCs w:val="19"/>
            <w:u w:val="single"/>
            <w:lang w:eastAsia="fr-FR"/>
          </w:rPr>
          <w:t>article L. 631-11 du code de la construction et de l'habitation </w:t>
        </w:r>
      </w:hyperlink>
      <w:r w:rsidRPr="00874A27">
        <w:rPr>
          <w:rFonts w:ascii="Arial" w:eastAsia="Times New Roman" w:hAnsi="Arial" w:cs="Arial"/>
          <w:color w:val="000000"/>
          <w:sz w:val="19"/>
          <w:szCs w:val="19"/>
          <w:lang w:eastAsia="fr-FR"/>
        </w:rPr>
        <w:t>accueillant les personnes ou familles mentionnées au même premier alinéa de l'article L. 345-2-4 du présent code ;</w:t>
      </w:r>
      <w:r w:rsidRPr="00874A27">
        <w:rPr>
          <w:rFonts w:ascii="Arial" w:eastAsia="Times New Roman" w:hAnsi="Arial" w:cs="Arial"/>
          <w:color w:val="000000"/>
          <w:sz w:val="19"/>
          <w:szCs w:val="19"/>
          <w:lang w:eastAsia="fr-FR"/>
        </w:rPr>
        <w:br/>
        <w:t>« 7° Les dispositifs spécialisés d'hébergement et d'accompagnement, dont le dispositif national de l'asile, les services pénitentiaires d'insertion et de probation et les services de l'aide sociale à l'enfance ;</w:t>
      </w:r>
      <w:r w:rsidRPr="00874A27">
        <w:rPr>
          <w:rFonts w:ascii="Arial" w:eastAsia="Times New Roman" w:hAnsi="Arial" w:cs="Arial"/>
          <w:color w:val="000000"/>
          <w:sz w:val="19"/>
          <w:szCs w:val="19"/>
          <w:lang w:eastAsia="fr-FR"/>
        </w:rPr>
        <w:br/>
        <w:t>« 8° Les bailleurs sociaux ;</w:t>
      </w:r>
      <w:r w:rsidRPr="00874A27">
        <w:rPr>
          <w:rFonts w:ascii="Arial" w:eastAsia="Times New Roman" w:hAnsi="Arial" w:cs="Arial"/>
          <w:color w:val="000000"/>
          <w:sz w:val="19"/>
          <w:szCs w:val="19"/>
          <w:lang w:eastAsia="fr-FR"/>
        </w:rPr>
        <w:br/>
        <w:t>« 9° Les organismes agréés qui exercent les activités mentionnées aux </w:t>
      </w:r>
      <w:hyperlink r:id="rId169" w:history="1">
        <w:r w:rsidRPr="00874A27">
          <w:rPr>
            <w:rFonts w:ascii="Arial" w:eastAsia="Times New Roman" w:hAnsi="Arial" w:cs="Arial"/>
            <w:color w:val="336699"/>
            <w:sz w:val="19"/>
            <w:szCs w:val="19"/>
            <w:u w:val="single"/>
            <w:lang w:eastAsia="fr-FR"/>
          </w:rPr>
          <w:t>1° et 2° de l'article L. 365-1 du code de la construction et de l'habitation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10° Les collectivités territoriales, leurs groupements et leurs établissements publics ;</w:t>
      </w:r>
      <w:r w:rsidRPr="00874A27">
        <w:rPr>
          <w:rFonts w:ascii="Arial" w:eastAsia="Times New Roman" w:hAnsi="Arial" w:cs="Arial"/>
          <w:color w:val="000000"/>
          <w:sz w:val="19"/>
          <w:szCs w:val="19"/>
          <w:lang w:eastAsia="fr-FR"/>
        </w:rPr>
        <w:br/>
        <w:t>« 11° Les agences régionales de santé, les établissements de santé et les établissements médico-sociaux.</w:t>
      </w:r>
      <w:r w:rsidRPr="00874A27">
        <w:rPr>
          <w:rFonts w:ascii="Arial" w:eastAsia="Times New Roman" w:hAnsi="Arial" w:cs="Arial"/>
          <w:color w:val="000000"/>
          <w:sz w:val="19"/>
          <w:szCs w:val="19"/>
          <w:lang w:eastAsia="fr-FR"/>
        </w:rPr>
        <w:br/>
        <w:t>« Art. L. 345-2-7.-Lorsqu'elles bénéficient d'un financement de l'Etat, les personnes morales assurant un hébergement, à l'exception du dispositif national de l'asile, et les organismes bénéficiant de l'aide pour loger à titre temporaire des personnes défavorisées mentionnés à l'</w:t>
      </w:r>
      <w:hyperlink r:id="rId170" w:history="1">
        <w:r w:rsidRPr="00874A27">
          <w:rPr>
            <w:rFonts w:ascii="Arial" w:eastAsia="Times New Roman" w:hAnsi="Arial" w:cs="Arial"/>
            <w:color w:val="336699"/>
            <w:sz w:val="19"/>
            <w:szCs w:val="19"/>
            <w:u w:val="single"/>
            <w:lang w:eastAsia="fr-FR"/>
          </w:rPr>
          <w:t>article L. 851-1 du code de la sécurité sociale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1° Mettent à disposition du service intégré d'accueil et d'orientation leurs places d'hébergement et l'informent de toutes les places vacantes ou susceptibles de l'être ;</w:t>
      </w:r>
      <w:r w:rsidRPr="00874A27">
        <w:rPr>
          <w:rFonts w:ascii="Arial" w:eastAsia="Times New Roman" w:hAnsi="Arial" w:cs="Arial"/>
          <w:color w:val="000000"/>
          <w:sz w:val="19"/>
          <w:szCs w:val="19"/>
          <w:lang w:eastAsia="fr-FR"/>
        </w:rPr>
        <w:br/>
        <w:t>« 2° Mettent en œuvre les propositions d'orientation du service intégré d'accueil et d'orientation, conformément aux articles L. 345-1, L. 345-2-2 et L. 345-2-3 du présent code, et, le cas échéant, motivent le refus d'une admission.</w:t>
      </w:r>
      <w:r w:rsidRPr="00874A27">
        <w:rPr>
          <w:rFonts w:ascii="Arial" w:eastAsia="Times New Roman" w:hAnsi="Arial" w:cs="Arial"/>
          <w:color w:val="000000"/>
          <w:sz w:val="19"/>
          <w:szCs w:val="19"/>
          <w:lang w:eastAsia="fr-FR"/>
        </w:rPr>
        <w:br/>
        <w:t>« Les personnes morales assurant un hébergement peuvent admettre, en urgence, les personnes en situation de détresse médicale, psychique ou sociale sous réserve d'en informer le service intégré d'accueil et d'orientation.</w:t>
      </w:r>
      <w:r w:rsidRPr="00874A27">
        <w:rPr>
          <w:rFonts w:ascii="Arial" w:eastAsia="Times New Roman" w:hAnsi="Arial" w:cs="Arial"/>
          <w:color w:val="000000"/>
          <w:sz w:val="19"/>
          <w:szCs w:val="19"/>
          <w:lang w:eastAsia="fr-FR"/>
        </w:rPr>
        <w:br/>
        <w:t>« Art. L. 345-2-8.-Lorsqu'ils bénéficient d'un financement de l'Etat, les organismes qui exercent des activités d'intermédiation et de gestion locative sociale, prévus à l'</w:t>
      </w:r>
      <w:hyperlink r:id="rId171" w:history="1">
        <w:r w:rsidRPr="00874A27">
          <w:rPr>
            <w:rFonts w:ascii="Arial" w:eastAsia="Times New Roman" w:hAnsi="Arial" w:cs="Arial"/>
            <w:color w:val="336699"/>
            <w:sz w:val="19"/>
            <w:szCs w:val="19"/>
            <w:u w:val="single"/>
            <w:lang w:eastAsia="fr-FR"/>
          </w:rPr>
          <w:t>article L. 365-4 du code de la construction et de l'habitation</w:t>
        </w:r>
      </w:hyperlink>
      <w:r w:rsidRPr="00874A27">
        <w:rPr>
          <w:rFonts w:ascii="Arial" w:eastAsia="Times New Roman" w:hAnsi="Arial" w:cs="Arial"/>
          <w:color w:val="000000"/>
          <w:sz w:val="19"/>
          <w:szCs w:val="19"/>
          <w:lang w:eastAsia="fr-FR"/>
        </w:rPr>
        <w:t>, les logements-foyers mentionnés à l'article L. 633-1 du même code et les résidences hôtelières à vocation sociale prévues à l'article L. 631-11 dudit code accueillant les personnes ou familles mentionnées au premier alinéa de l'article L. 345-2-4 du présent code :</w:t>
      </w:r>
      <w:r w:rsidRPr="00874A27">
        <w:rPr>
          <w:rFonts w:ascii="Arial" w:eastAsia="Times New Roman" w:hAnsi="Arial" w:cs="Arial"/>
          <w:color w:val="000000"/>
          <w:sz w:val="19"/>
          <w:szCs w:val="19"/>
          <w:lang w:eastAsia="fr-FR"/>
        </w:rPr>
        <w:br/>
        <w:t>« 1° Informent le service intégré d'accueil et d'orientation des logements vacants ou susceptibles de l'être ;</w:t>
      </w:r>
      <w:r w:rsidRPr="00874A27">
        <w:rPr>
          <w:rFonts w:ascii="Arial" w:eastAsia="Times New Roman" w:hAnsi="Arial" w:cs="Arial"/>
          <w:color w:val="000000"/>
          <w:sz w:val="19"/>
          <w:szCs w:val="19"/>
          <w:lang w:eastAsia="fr-FR"/>
        </w:rPr>
        <w:br/>
        <w:t>« 2° Examinent les propositions d'orientation du service intégré d'accueil et d'orientation et les mettent en œuvre selon les procédures qui leur sont propres.</w:t>
      </w:r>
      <w:r w:rsidRPr="00874A27">
        <w:rPr>
          <w:rFonts w:ascii="Arial" w:eastAsia="Times New Roman" w:hAnsi="Arial" w:cs="Arial"/>
          <w:color w:val="000000"/>
          <w:sz w:val="19"/>
          <w:szCs w:val="19"/>
          <w:lang w:eastAsia="fr-FR"/>
        </w:rPr>
        <w:br/>
        <w:t>« Art. L. 345-2-9.-En Ile-de-France, le représentant de l'Etat dans la région, dans le cadre d'une conférence régionale, coordonne l'action des services intégrés d'accueil et d'orientation de chaque département.</w:t>
      </w:r>
      <w:r w:rsidRPr="00874A27">
        <w:rPr>
          <w:rFonts w:ascii="Arial" w:eastAsia="Times New Roman" w:hAnsi="Arial" w:cs="Arial"/>
          <w:color w:val="000000"/>
          <w:sz w:val="19"/>
          <w:szCs w:val="19"/>
          <w:lang w:eastAsia="fr-FR"/>
        </w:rPr>
        <w:br/>
        <w:t>« Pour les autres régions métropolitaines, le représentant de l'Etat dans la région détermine les modalités de coordination des services intégrés d'accueil et d'orientation de chaque département. Cette coordination peut prendre la forme d'une conférence régionale.</w:t>
      </w:r>
      <w:r w:rsidRPr="00874A27">
        <w:rPr>
          <w:rFonts w:ascii="Arial" w:eastAsia="Times New Roman" w:hAnsi="Arial" w:cs="Arial"/>
          <w:color w:val="000000"/>
          <w:sz w:val="19"/>
          <w:szCs w:val="19"/>
          <w:lang w:eastAsia="fr-FR"/>
        </w:rPr>
        <w:br/>
        <w:t>« Art. L. 345-2-10.-Les personnes appelées à intervenir dans l'instruction des demandes de prise en charge, l'évaluation et l'orientation des personnes ou familles mentionnées au premier alinéa de l'article L. 345-2-4 et ayant recours au dispositif d'accueil, d'hébergement et d'accompagnement vers l'insertion et le logement sont tenues au secret professionnel dans les conditions prévues aux articles </w:t>
      </w:r>
      <w:hyperlink r:id="rId172" w:history="1">
        <w:r w:rsidRPr="00874A27">
          <w:rPr>
            <w:rFonts w:ascii="Arial" w:eastAsia="Times New Roman" w:hAnsi="Arial" w:cs="Arial"/>
            <w:color w:val="336699"/>
            <w:sz w:val="19"/>
            <w:szCs w:val="19"/>
            <w:u w:val="single"/>
            <w:lang w:eastAsia="fr-FR"/>
          </w:rPr>
          <w:t>226-13 </w:t>
        </w:r>
      </w:hyperlink>
      <w:r w:rsidRPr="00874A27">
        <w:rPr>
          <w:rFonts w:ascii="Arial" w:eastAsia="Times New Roman" w:hAnsi="Arial" w:cs="Arial"/>
          <w:color w:val="000000"/>
          <w:sz w:val="19"/>
          <w:szCs w:val="19"/>
          <w:lang w:eastAsia="fr-FR"/>
        </w:rPr>
        <w:t>et </w:t>
      </w:r>
      <w:hyperlink r:id="rId173" w:history="1">
        <w:r w:rsidRPr="00874A27">
          <w:rPr>
            <w:rFonts w:ascii="Arial" w:eastAsia="Times New Roman" w:hAnsi="Arial" w:cs="Arial"/>
            <w:color w:val="336699"/>
            <w:sz w:val="19"/>
            <w:szCs w:val="19"/>
            <w:u w:val="single"/>
            <w:lang w:eastAsia="fr-FR"/>
          </w:rPr>
          <w:t>226-14 </w:t>
        </w:r>
      </w:hyperlink>
      <w:r w:rsidRPr="00874A27">
        <w:rPr>
          <w:rFonts w:ascii="Arial" w:eastAsia="Times New Roman" w:hAnsi="Arial" w:cs="Arial"/>
          <w:color w:val="000000"/>
          <w:sz w:val="19"/>
          <w:szCs w:val="19"/>
          <w:lang w:eastAsia="fr-FR"/>
        </w:rPr>
        <w:t>du code pénal.</w:t>
      </w:r>
      <w:r w:rsidRPr="00874A27">
        <w:rPr>
          <w:rFonts w:ascii="Arial" w:eastAsia="Times New Roman" w:hAnsi="Arial" w:cs="Arial"/>
          <w:color w:val="000000"/>
          <w:sz w:val="19"/>
          <w:szCs w:val="19"/>
          <w:lang w:eastAsia="fr-FR"/>
        </w:rPr>
        <w:br/>
        <w:t>« Par dérogation au même article 226-13, les personnes mentionnées au premier alinéa du présent article peuvent échanger entre elles les informations confidentielles dont elles disposent et qui sont strictement nécessaires à la prise de décision.</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Les personnes mentionnées au même premier alinéa communiquent aux services chargés de l'instruction des recours prévus à l'</w:t>
      </w:r>
      <w:hyperlink r:id="rId174" w:history="1">
        <w:r w:rsidRPr="00874A27">
          <w:rPr>
            <w:rFonts w:ascii="Arial" w:eastAsia="Times New Roman" w:hAnsi="Arial" w:cs="Arial"/>
            <w:color w:val="336699"/>
            <w:sz w:val="19"/>
            <w:szCs w:val="19"/>
            <w:u w:val="single"/>
            <w:lang w:eastAsia="fr-FR"/>
          </w:rPr>
          <w:t>article L. 441-2-3 du code de la construction et de l'habitation </w:t>
        </w:r>
      </w:hyperlink>
      <w:r w:rsidRPr="00874A27">
        <w:rPr>
          <w:rFonts w:ascii="Arial" w:eastAsia="Times New Roman" w:hAnsi="Arial" w:cs="Arial"/>
          <w:color w:val="000000"/>
          <w:sz w:val="19"/>
          <w:szCs w:val="19"/>
          <w:lang w:eastAsia="fr-FR"/>
        </w:rPr>
        <w:t>les informations dont elles disposent, dans les conditions prévues au second alinéa du VI du même article.</w:t>
      </w:r>
      <w:r w:rsidRPr="00874A27">
        <w:rPr>
          <w:rFonts w:ascii="Arial" w:eastAsia="Times New Roman" w:hAnsi="Arial" w:cs="Arial"/>
          <w:color w:val="000000"/>
          <w:sz w:val="19"/>
          <w:szCs w:val="19"/>
          <w:lang w:eastAsia="fr-FR"/>
        </w:rPr>
        <w:br/>
        <w:t>« Art. L. 345-2-11.-Toute personne prise en charge dans un centre d'hébergement a accès à une information sur ses droits fondamentaux et les protections particulières dont elle bénéficie, sur les voies de recours à sa disposition et les moyens de les exercer, ainsi qu'à la liste des associations de défense des personnes en situation d'exclusion par le logement agréées dans le département. » ;</w:t>
      </w:r>
      <w:r w:rsidRPr="00874A27">
        <w:rPr>
          <w:rFonts w:ascii="Arial" w:eastAsia="Times New Roman" w:hAnsi="Arial" w:cs="Arial"/>
          <w:color w:val="000000"/>
          <w:sz w:val="19"/>
          <w:szCs w:val="19"/>
          <w:lang w:eastAsia="fr-FR"/>
        </w:rPr>
        <w:br/>
        <w:t>3° L'article L. 345-4 est ainsi modifié :</w:t>
      </w:r>
      <w:r w:rsidRPr="00874A27">
        <w:rPr>
          <w:rFonts w:ascii="Arial" w:eastAsia="Times New Roman" w:hAnsi="Arial" w:cs="Arial"/>
          <w:color w:val="000000"/>
          <w:sz w:val="19"/>
          <w:szCs w:val="19"/>
          <w:lang w:eastAsia="fr-FR"/>
        </w:rPr>
        <w:br/>
        <w:t>a) A la fin du 2°, la référence : « à l'article L. 345-3 » est remplacée par les références : « aux articles L. 345-2-4 et L. 345-3 » ;</w:t>
      </w:r>
      <w:r w:rsidRPr="00874A27">
        <w:rPr>
          <w:rFonts w:ascii="Arial" w:eastAsia="Times New Roman" w:hAnsi="Arial" w:cs="Arial"/>
          <w:color w:val="000000"/>
          <w:sz w:val="19"/>
          <w:szCs w:val="19"/>
          <w:lang w:eastAsia="fr-FR"/>
        </w:rPr>
        <w:br/>
        <w:t>b) Il est ajouté un 3° ainsi rédigé :</w:t>
      </w:r>
      <w:r w:rsidRPr="00874A27">
        <w:rPr>
          <w:rFonts w:ascii="Arial" w:eastAsia="Times New Roman" w:hAnsi="Arial" w:cs="Arial"/>
          <w:color w:val="000000"/>
          <w:sz w:val="19"/>
          <w:szCs w:val="19"/>
          <w:lang w:eastAsia="fr-FR"/>
        </w:rPr>
        <w:br/>
        <w:t>« 3° Après avis de la Commission nationale de l'informatique et des libertés, les informations et données échangées entre l'Etat et les personnes morales participant à la prise en charge des personnes ou des familles sans domicile. Les dispositions de l'article L. 345-2-10 du présent code ne s'appliquent pas à cet échange d'informations et de données. »</w:t>
      </w:r>
    </w:p>
    <w:p w:rsidR="00874A27" w:rsidRPr="00874A27" w:rsidRDefault="00874A27" w:rsidP="00874A27">
      <w:pPr>
        <w:shd w:val="clear" w:color="auto" w:fill="FFFFFF"/>
        <w:spacing w:beforeAutospacing="1" w:after="0" w:afterAutospacing="1" w:line="240" w:lineRule="auto"/>
        <w:ind w:left="720"/>
        <w:jc w:val="center"/>
        <w:rPr>
          <w:rFonts w:ascii="Arial" w:eastAsia="Times New Roman" w:hAnsi="Arial" w:cs="Arial"/>
          <w:b/>
          <w:bCs/>
          <w:color w:val="000000"/>
          <w:sz w:val="23"/>
          <w:szCs w:val="23"/>
          <w:lang w:eastAsia="fr-FR"/>
        </w:rPr>
      </w:pPr>
      <w:bookmarkStart w:id="30" w:name="JORFARTI000028774847"/>
      <w:bookmarkEnd w:id="30"/>
      <w:r w:rsidRPr="00874A27">
        <w:rPr>
          <w:rFonts w:ascii="Arial" w:eastAsia="Times New Roman" w:hAnsi="Arial" w:cs="Arial"/>
          <w:b/>
          <w:bCs/>
          <w:color w:val="000000"/>
          <w:sz w:val="23"/>
          <w:szCs w:val="23"/>
          <w:lang w:eastAsia="fr-FR"/>
        </w:rPr>
        <w:t>Article 31 </w:t>
      </w:r>
      <w:hyperlink r:id="rId175" w:tooltip="En savoir plus sur l'article 3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Au c de l'article L. 313-3 du même code, après la référence : « 8°, », est insérée la référence : « 10°, ».</w:t>
      </w:r>
    </w:p>
    <w:p w:rsidR="00874A27" w:rsidRPr="00874A27" w:rsidRDefault="00874A27" w:rsidP="00874A27">
      <w:pPr>
        <w:shd w:val="clear" w:color="auto" w:fill="FFFFFF"/>
        <w:spacing w:beforeAutospacing="1" w:after="0" w:afterAutospacing="1" w:line="240" w:lineRule="auto"/>
        <w:ind w:left="720"/>
        <w:jc w:val="center"/>
        <w:rPr>
          <w:rFonts w:ascii="Arial" w:eastAsia="Times New Roman" w:hAnsi="Arial" w:cs="Arial"/>
          <w:b/>
          <w:bCs/>
          <w:color w:val="000000"/>
          <w:sz w:val="23"/>
          <w:szCs w:val="23"/>
          <w:lang w:eastAsia="fr-FR"/>
        </w:rPr>
      </w:pPr>
      <w:bookmarkStart w:id="31" w:name="JORFARTI000028774850"/>
      <w:bookmarkEnd w:id="31"/>
      <w:r w:rsidRPr="00874A27">
        <w:rPr>
          <w:rFonts w:ascii="Arial" w:eastAsia="Times New Roman" w:hAnsi="Arial" w:cs="Arial"/>
          <w:b/>
          <w:bCs/>
          <w:color w:val="000000"/>
          <w:sz w:val="23"/>
          <w:szCs w:val="23"/>
          <w:lang w:eastAsia="fr-FR"/>
        </w:rPr>
        <w:t>Article 32 </w:t>
      </w:r>
      <w:hyperlink r:id="rId176" w:tooltip="En savoir plus sur l'article 3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Avant le 31 décembre 2014, le Gouvernement transmet au Parlement un rapport présentant les conditions et modalités de mise en œuvre d'un statut unique pour les établissements et services de la veille sociale, de l'hébergement et de l'accompagnement.</w:t>
      </w:r>
    </w:p>
    <w:p w:rsidR="00874A27" w:rsidRPr="00874A27" w:rsidRDefault="00874A27" w:rsidP="00874A27">
      <w:pPr>
        <w:numPr>
          <w:ilvl w:val="3"/>
          <w:numId w:val="1"/>
        </w:numPr>
        <w:shd w:val="clear" w:color="auto" w:fill="FFFFFF"/>
        <w:spacing w:before="100" w:beforeAutospacing="1" w:after="100" w:afterAutospacing="1" w:line="240" w:lineRule="auto"/>
        <w:ind w:left="72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Sous-section 2 : Renforcer la gouvernance au niveau régional et l'articulation entre le logement et l'hébergement</w:t>
      </w:r>
    </w:p>
    <w:p w:rsidR="00874A27" w:rsidRPr="00874A27" w:rsidRDefault="00874A27" w:rsidP="00874A27">
      <w:pPr>
        <w:shd w:val="clear" w:color="auto" w:fill="FFFFFF"/>
        <w:spacing w:before="100" w:beforeAutospacing="1" w:after="100" w:afterAutospacing="1" w:line="240" w:lineRule="auto"/>
        <w:ind w:left="720"/>
        <w:jc w:val="center"/>
        <w:rPr>
          <w:rFonts w:ascii="Arial" w:eastAsia="Times New Roman" w:hAnsi="Arial" w:cs="Arial"/>
          <w:b/>
          <w:bCs/>
          <w:color w:val="000000"/>
          <w:sz w:val="23"/>
          <w:szCs w:val="23"/>
          <w:lang w:eastAsia="fr-FR"/>
        </w:rPr>
      </w:pPr>
      <w:bookmarkStart w:id="32" w:name="JORFARTI000028774851"/>
      <w:bookmarkEnd w:id="32"/>
      <w:r w:rsidRPr="00874A27">
        <w:rPr>
          <w:rFonts w:ascii="Arial" w:eastAsia="Times New Roman" w:hAnsi="Arial" w:cs="Arial"/>
          <w:b/>
          <w:bCs/>
          <w:color w:val="000000"/>
          <w:sz w:val="23"/>
          <w:szCs w:val="23"/>
          <w:lang w:eastAsia="fr-FR"/>
        </w:rPr>
        <w:t>Article 33 </w:t>
      </w:r>
      <w:hyperlink r:id="rId177" w:tooltip="En savoir plus sur l'article 3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la construction et de l'habitation est ainsi modifié :</w:t>
      </w:r>
      <w:r w:rsidRPr="00874A27">
        <w:rPr>
          <w:rFonts w:ascii="Arial" w:eastAsia="Times New Roman" w:hAnsi="Arial" w:cs="Arial"/>
          <w:color w:val="000000"/>
          <w:sz w:val="19"/>
          <w:szCs w:val="19"/>
          <w:lang w:eastAsia="fr-FR"/>
        </w:rPr>
        <w:br/>
        <w:t>1° A la première phrase du troisième alinéa de l'article L. 301-3, après les mots : « de l'habitat », sont insérés, deux fois, les mots : « et de l'hébergement » ;</w:t>
      </w:r>
      <w:r w:rsidRPr="00874A27">
        <w:rPr>
          <w:rFonts w:ascii="Arial" w:eastAsia="Times New Roman" w:hAnsi="Arial" w:cs="Arial"/>
          <w:color w:val="000000"/>
          <w:sz w:val="19"/>
          <w:szCs w:val="19"/>
          <w:lang w:eastAsia="fr-FR"/>
        </w:rPr>
        <w:br/>
        <w:t>2° A la fin de la seconde phrase du quatrième alinéa et à l'avant-dernier alinéa de l'article L. 302-2, au second alinéa de l'article L. 302-3, à la seconde phrase du premier alinéa de l'article L. 302-9, à la première phrase du deuxième alinéa de l'article L. 302-9-1, à la première phrase de l'article L. 302-12 deux fois, à la fin de l'intitulé du chapitre IV du titre VI du livre III, à la fin de la seconde phrase de l'article L. 441-10 et à la première phrase de l'avant-dernier alinéa de l'article L. 443-7, après les mots : « de l'habitat », sont insérés les mots : « et de l'hébergement » ;</w:t>
      </w:r>
      <w:r w:rsidRPr="00874A27">
        <w:rPr>
          <w:rFonts w:ascii="Arial" w:eastAsia="Times New Roman" w:hAnsi="Arial" w:cs="Arial"/>
          <w:color w:val="000000"/>
          <w:sz w:val="19"/>
          <w:szCs w:val="19"/>
          <w:lang w:eastAsia="fr-FR"/>
        </w:rPr>
        <w:br/>
        <w:t>3° L'article L. 364-1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après les mots : « de l'habitat », sont insérés les mots : « et de l'hébergement » ;</w:t>
      </w:r>
      <w:r w:rsidRPr="00874A27">
        <w:rPr>
          <w:rFonts w:ascii="Arial" w:eastAsia="Times New Roman" w:hAnsi="Arial" w:cs="Arial"/>
          <w:color w:val="000000"/>
          <w:sz w:val="19"/>
          <w:szCs w:val="19"/>
          <w:lang w:eastAsia="fr-FR"/>
        </w:rPr>
        <w:br/>
        <w:t>― après les mots : « d'habitat », sont insérés les mots : « et d'hébergement » ;</w:t>
      </w:r>
      <w:r w:rsidRPr="00874A27">
        <w:rPr>
          <w:rFonts w:ascii="Arial" w:eastAsia="Times New Roman" w:hAnsi="Arial" w:cs="Arial"/>
          <w:color w:val="000000"/>
          <w:sz w:val="19"/>
          <w:szCs w:val="19"/>
          <w:lang w:eastAsia="fr-FR"/>
        </w:rPr>
        <w:br/>
        <w:t>b) Le deuxième alinéa est ainsi modifié :</w:t>
      </w:r>
      <w:r w:rsidRPr="00874A27">
        <w:rPr>
          <w:rFonts w:ascii="Arial" w:eastAsia="Times New Roman" w:hAnsi="Arial" w:cs="Arial"/>
          <w:color w:val="000000"/>
          <w:sz w:val="19"/>
          <w:szCs w:val="19"/>
          <w:lang w:eastAsia="fr-FR"/>
        </w:rPr>
        <w:br/>
        <w:t>― les mots : « , à Mayotte et à Saint-Martin » sont remplacés par les mots : « et à Mayotte » ;</w:t>
      </w:r>
      <w:r w:rsidRPr="00874A27">
        <w:rPr>
          <w:rFonts w:ascii="Arial" w:eastAsia="Times New Roman" w:hAnsi="Arial" w:cs="Arial"/>
          <w:color w:val="000000"/>
          <w:sz w:val="19"/>
          <w:szCs w:val="19"/>
          <w:lang w:eastAsia="fr-FR"/>
        </w:rPr>
        <w:br/>
        <w:t>― après les mots : « de l'habitat », sont insérés, deux fois, les mots : « et de l'hébergement ».</w:t>
      </w:r>
    </w:p>
    <w:p w:rsidR="00874A27" w:rsidRPr="00874A27" w:rsidRDefault="00874A27" w:rsidP="00874A27">
      <w:pPr>
        <w:shd w:val="clear" w:color="auto" w:fill="FFFFFF"/>
        <w:spacing w:beforeAutospacing="1" w:after="0" w:afterAutospacing="1" w:line="240" w:lineRule="auto"/>
        <w:ind w:left="720"/>
        <w:jc w:val="center"/>
        <w:rPr>
          <w:rFonts w:ascii="Arial" w:eastAsia="Times New Roman" w:hAnsi="Arial" w:cs="Arial"/>
          <w:b/>
          <w:bCs/>
          <w:color w:val="000000"/>
          <w:sz w:val="23"/>
          <w:szCs w:val="23"/>
          <w:lang w:eastAsia="fr-FR"/>
        </w:rPr>
      </w:pPr>
      <w:bookmarkStart w:id="33" w:name="JORFARTI000028774858"/>
      <w:bookmarkEnd w:id="33"/>
      <w:r w:rsidRPr="00874A27">
        <w:rPr>
          <w:rFonts w:ascii="Arial" w:eastAsia="Times New Roman" w:hAnsi="Arial" w:cs="Arial"/>
          <w:b/>
          <w:bCs/>
          <w:color w:val="000000"/>
          <w:sz w:val="23"/>
          <w:szCs w:val="23"/>
          <w:lang w:eastAsia="fr-FR"/>
        </w:rPr>
        <w:t>Article 34 </w:t>
      </w:r>
      <w:hyperlink r:id="rId178" w:tooltip="En savoir plus sur l'article 3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I de l'article L. 312-5-3 du code de l'action sociale et des familles est ainsi rédigé :</w:t>
      </w:r>
      <w:r w:rsidRPr="00874A27">
        <w:rPr>
          <w:rFonts w:ascii="Arial" w:eastAsia="Times New Roman" w:hAnsi="Arial" w:cs="Arial"/>
          <w:color w:val="000000"/>
          <w:sz w:val="19"/>
          <w:szCs w:val="19"/>
          <w:lang w:eastAsia="fr-FR"/>
        </w:rPr>
        <w:br/>
        <w:t xml:space="preserve">« I. ― Le plan départemental d'action pour le logement et l'hébergement des personnes </w:t>
      </w:r>
      <w:r w:rsidRPr="00874A27">
        <w:rPr>
          <w:rFonts w:ascii="Arial" w:eastAsia="Times New Roman" w:hAnsi="Arial" w:cs="Arial"/>
          <w:color w:val="000000"/>
          <w:sz w:val="19"/>
          <w:szCs w:val="19"/>
          <w:lang w:eastAsia="fr-FR"/>
        </w:rPr>
        <w:lastRenderedPageBreak/>
        <w:t>défavorisées prévu à l'</w:t>
      </w:r>
      <w:hyperlink r:id="rId179" w:history="1">
        <w:r w:rsidRPr="00874A27">
          <w:rPr>
            <w:rFonts w:ascii="Arial" w:eastAsia="Times New Roman" w:hAnsi="Arial" w:cs="Arial"/>
            <w:color w:val="336699"/>
            <w:sz w:val="19"/>
            <w:szCs w:val="19"/>
            <w:u w:val="single"/>
            <w:lang w:eastAsia="fr-FR"/>
          </w:rPr>
          <w:t>article 2 de la loi n° 90-449 du 31 mai 1990 </w:t>
        </w:r>
      </w:hyperlink>
      <w:r w:rsidRPr="00874A27">
        <w:rPr>
          <w:rFonts w:ascii="Arial" w:eastAsia="Times New Roman" w:hAnsi="Arial" w:cs="Arial"/>
          <w:color w:val="000000"/>
          <w:sz w:val="19"/>
          <w:szCs w:val="19"/>
          <w:lang w:eastAsia="fr-FR"/>
        </w:rPr>
        <w:t>visant à la mise en œuvre du droit au logement définit, de manière territorialisée, les mesures destinées à répondre aux besoins en logement et en hébergement des personnes prises en charge par le dispositif d'accueil, d'hébergement et d'accompagnement vers l'insertion et le logement. »</w:t>
      </w:r>
      <w:r w:rsidRPr="00874A27">
        <w:rPr>
          <w:rFonts w:ascii="Arial" w:eastAsia="Times New Roman" w:hAnsi="Arial" w:cs="Arial"/>
          <w:color w:val="000000"/>
          <w:sz w:val="19"/>
          <w:szCs w:val="19"/>
          <w:lang w:eastAsia="fr-FR"/>
        </w:rPr>
        <w:br/>
        <w:t>II. ― Le 1° du IV de l'article L. 543-1 du même code est abrogé.</w:t>
      </w:r>
      <w:r w:rsidRPr="00874A27">
        <w:rPr>
          <w:rFonts w:ascii="Arial" w:eastAsia="Times New Roman" w:hAnsi="Arial" w:cs="Arial"/>
          <w:color w:val="000000"/>
          <w:sz w:val="19"/>
          <w:szCs w:val="19"/>
          <w:lang w:eastAsia="fr-FR"/>
        </w:rPr>
        <w:br/>
        <w:t>III. ― La loi n° 90-449 du 31 mai 1990 visant à la mise en œuvre du droit au logement est ainsi modifiée :</w:t>
      </w:r>
      <w:r w:rsidRPr="00874A27">
        <w:rPr>
          <w:rFonts w:ascii="Arial" w:eastAsia="Times New Roman" w:hAnsi="Arial" w:cs="Arial"/>
          <w:color w:val="000000"/>
          <w:sz w:val="19"/>
          <w:szCs w:val="19"/>
          <w:lang w:eastAsia="fr-FR"/>
        </w:rPr>
        <w:br/>
        <w:t>1° Après l'article 1er, il est inséré un article 1er-1 ainsi rédigé :</w:t>
      </w:r>
      <w:r w:rsidRPr="00874A27">
        <w:rPr>
          <w:rFonts w:ascii="Arial" w:eastAsia="Times New Roman" w:hAnsi="Arial" w:cs="Arial"/>
          <w:color w:val="000000"/>
          <w:sz w:val="19"/>
          <w:szCs w:val="19"/>
          <w:lang w:eastAsia="fr-FR"/>
        </w:rPr>
        <w:br/>
        <w:t>« Art. 1er-1.-Constituent un habitat indigne les locaux ou les installations utilisés aux fins d'habitation et impropres par nature à cet usage, ainsi que les logements dont l'état, ou celui du bâtiment dans lequel ils sont situés, expose les occupants à des risques manifestes pouvant porter atteinte à leur sécurité physique ou à leur santé.</w:t>
      </w:r>
      <w:r w:rsidRPr="00874A27">
        <w:rPr>
          <w:rFonts w:ascii="Arial" w:eastAsia="Times New Roman" w:hAnsi="Arial" w:cs="Arial"/>
          <w:color w:val="000000"/>
          <w:sz w:val="19"/>
          <w:szCs w:val="19"/>
          <w:lang w:eastAsia="fr-FR"/>
        </w:rPr>
        <w:br/>
        <w:t>« Sont constitutifs d'un habitat informel les locaux ou les installations à usage d'habitation édifiés majoritairement sans droit ni titre sur le terrain d'assiette, dénués d'alimentation en eau potable ou de réseaux de collecte des eaux usées et des eaux pluviales, ou de voiries ou d'équipements collectifs propres à en assurer la desserte, la salubrité et la sécurité dans des conditions satisfaisantes.</w:t>
      </w:r>
      <w:r w:rsidRPr="00874A27">
        <w:rPr>
          <w:rFonts w:ascii="Arial" w:eastAsia="Times New Roman" w:hAnsi="Arial" w:cs="Arial"/>
          <w:color w:val="000000"/>
          <w:sz w:val="19"/>
          <w:szCs w:val="19"/>
          <w:lang w:eastAsia="fr-FR"/>
        </w:rPr>
        <w:br/>
        <w:t>« Est en situation de précarité énergétique au titre de la présente loi une personne qui éprouve dans son logement des difficultés particulières à disposer de la fourniture d'énergie nécessaire à la satisfaction de ses besoins élémentaires en raison de l'inadaptation de ses ressources ou de ses conditions d'habitat. » ;</w:t>
      </w:r>
      <w:r w:rsidRPr="00874A27">
        <w:rPr>
          <w:rFonts w:ascii="Arial" w:eastAsia="Times New Roman" w:hAnsi="Arial" w:cs="Arial"/>
          <w:color w:val="000000"/>
          <w:sz w:val="19"/>
          <w:szCs w:val="19"/>
          <w:lang w:eastAsia="fr-FR"/>
        </w:rPr>
        <w:br/>
        <w:t>2° A l'intitulé du chapitre Ier, après le mot : « logement », sont insérés les mots : « et l'hébergement » ;</w:t>
      </w:r>
      <w:r w:rsidRPr="00874A27">
        <w:rPr>
          <w:rFonts w:ascii="Arial" w:eastAsia="Times New Roman" w:hAnsi="Arial" w:cs="Arial"/>
          <w:color w:val="000000"/>
          <w:sz w:val="19"/>
          <w:szCs w:val="19"/>
          <w:lang w:eastAsia="fr-FR"/>
        </w:rPr>
        <w:br/>
        <w:t>3° Les articles 2 à 4 sont ainsi rédigés :</w:t>
      </w:r>
      <w:r w:rsidRPr="00874A27">
        <w:rPr>
          <w:rFonts w:ascii="Arial" w:eastAsia="Times New Roman" w:hAnsi="Arial" w:cs="Arial"/>
          <w:color w:val="000000"/>
          <w:sz w:val="19"/>
          <w:szCs w:val="19"/>
          <w:lang w:eastAsia="fr-FR"/>
        </w:rPr>
        <w:br/>
        <w:t>« Art. 2.-Le plan départemental d'action pour le logement et l'hébergement des personnes défavorisées comprend les mesures destinées à permettre aux personnes et aux familles mentionnées au </w:t>
      </w:r>
      <w:hyperlink r:id="rId180" w:history="1">
        <w:r w:rsidRPr="00874A27">
          <w:rPr>
            <w:rFonts w:ascii="Arial" w:eastAsia="Times New Roman" w:hAnsi="Arial" w:cs="Arial"/>
            <w:color w:val="336699"/>
            <w:sz w:val="19"/>
            <w:szCs w:val="19"/>
            <w:u w:val="single"/>
            <w:lang w:eastAsia="fr-FR"/>
          </w:rPr>
          <w:t>II de l'article L. 301-1 du code de la construction et de l'habitation </w:t>
        </w:r>
      </w:hyperlink>
      <w:r w:rsidRPr="00874A27">
        <w:rPr>
          <w:rFonts w:ascii="Arial" w:eastAsia="Times New Roman" w:hAnsi="Arial" w:cs="Arial"/>
          <w:color w:val="000000"/>
          <w:sz w:val="19"/>
          <w:szCs w:val="19"/>
          <w:lang w:eastAsia="fr-FR"/>
        </w:rPr>
        <w:t>d'accéder à un logement décent et indépendant ou de s'y maintenir et d'y disposer de la fourniture d'eau, d'énergie et de services téléphoniques, ainsi que de pouvoir bénéficier, le temps nécessaire, si elles le souhaitent, d'un accompagnement correspondant à leurs besoins.</w:t>
      </w:r>
      <w:r w:rsidRPr="00874A27">
        <w:rPr>
          <w:rFonts w:ascii="Arial" w:eastAsia="Times New Roman" w:hAnsi="Arial" w:cs="Arial"/>
          <w:color w:val="000000"/>
          <w:sz w:val="19"/>
          <w:szCs w:val="19"/>
          <w:lang w:eastAsia="fr-FR"/>
        </w:rPr>
        <w:br/>
        <w:t>« Ce plan inclut les mesures complémentaires destinées à répondre aux besoins en hébergement des personnes et familles relevant du dispositif d'accueil, d'hébergement et d'accompagnement vers l'insertion et le logement, conformément aux articles </w:t>
      </w:r>
      <w:hyperlink r:id="rId181" w:history="1">
        <w:r w:rsidRPr="00874A27">
          <w:rPr>
            <w:rFonts w:ascii="Arial" w:eastAsia="Times New Roman" w:hAnsi="Arial" w:cs="Arial"/>
            <w:color w:val="336699"/>
            <w:sz w:val="19"/>
            <w:szCs w:val="19"/>
            <w:u w:val="single"/>
            <w:lang w:eastAsia="fr-FR"/>
          </w:rPr>
          <w:t>L. 312-5-3</w:t>
        </w:r>
      </w:hyperlink>
      <w:r w:rsidRPr="00874A27">
        <w:rPr>
          <w:rFonts w:ascii="Arial" w:eastAsia="Times New Roman" w:hAnsi="Arial" w:cs="Arial"/>
          <w:color w:val="000000"/>
          <w:sz w:val="19"/>
          <w:szCs w:val="19"/>
          <w:lang w:eastAsia="fr-FR"/>
        </w:rPr>
        <w:t>, </w:t>
      </w:r>
      <w:hyperlink r:id="rId182" w:history="1">
        <w:r w:rsidRPr="00874A27">
          <w:rPr>
            <w:rFonts w:ascii="Arial" w:eastAsia="Times New Roman" w:hAnsi="Arial" w:cs="Arial"/>
            <w:color w:val="336699"/>
            <w:sz w:val="19"/>
            <w:szCs w:val="19"/>
            <w:u w:val="single"/>
            <w:lang w:eastAsia="fr-FR"/>
          </w:rPr>
          <w:t>L. 345-2-2 </w:t>
        </w:r>
      </w:hyperlink>
      <w:r w:rsidRPr="00874A27">
        <w:rPr>
          <w:rFonts w:ascii="Arial" w:eastAsia="Times New Roman" w:hAnsi="Arial" w:cs="Arial"/>
          <w:color w:val="000000"/>
          <w:sz w:val="19"/>
          <w:szCs w:val="19"/>
          <w:lang w:eastAsia="fr-FR"/>
        </w:rPr>
        <w:t>et </w:t>
      </w:r>
      <w:hyperlink r:id="rId183" w:history="1">
        <w:r w:rsidRPr="00874A27">
          <w:rPr>
            <w:rFonts w:ascii="Arial" w:eastAsia="Times New Roman" w:hAnsi="Arial" w:cs="Arial"/>
            <w:color w:val="336699"/>
            <w:sz w:val="19"/>
            <w:szCs w:val="19"/>
            <w:u w:val="single"/>
            <w:lang w:eastAsia="fr-FR"/>
          </w:rPr>
          <w:t>L. 345-2-3 </w:t>
        </w:r>
      </w:hyperlink>
      <w:r w:rsidRPr="00874A27">
        <w:rPr>
          <w:rFonts w:ascii="Arial" w:eastAsia="Times New Roman" w:hAnsi="Arial" w:cs="Arial"/>
          <w:color w:val="000000"/>
          <w:sz w:val="19"/>
          <w:szCs w:val="19"/>
          <w:lang w:eastAsia="fr-FR"/>
        </w:rPr>
        <w:t>du code de l'action sociale et des familles, ainsi qu'aux besoins des personnes et familles prises en charge dans les établissements ou par les services relevant du schéma d'organisation sociale et médico-sociale prévu à l'article L. 312-4 du même code. A cette fin, il couvre le dispositif de veille sociale mentionné à l'article L. 345-2 du même code.</w:t>
      </w:r>
      <w:r w:rsidRPr="00874A27">
        <w:rPr>
          <w:rFonts w:ascii="Arial" w:eastAsia="Times New Roman" w:hAnsi="Arial" w:cs="Arial"/>
          <w:color w:val="000000"/>
          <w:sz w:val="19"/>
          <w:szCs w:val="19"/>
          <w:lang w:eastAsia="fr-FR"/>
        </w:rPr>
        <w:br/>
        <w:t>« Ce plan inclut une annexe, transmise par le représentant de l'Etat dans le département, comportant le schéma de répartition des dispositifs d'accueil et d'hébergement des demandeurs d'asile ainsi que les modalités de suivi de ces dispositifs.</w:t>
      </w:r>
      <w:r w:rsidRPr="00874A27">
        <w:rPr>
          <w:rFonts w:ascii="Arial" w:eastAsia="Times New Roman" w:hAnsi="Arial" w:cs="Arial"/>
          <w:color w:val="000000"/>
          <w:sz w:val="19"/>
          <w:szCs w:val="19"/>
          <w:lang w:eastAsia="fr-FR"/>
        </w:rPr>
        <w:br/>
        <w:t>« Il comprend les mesures destinées à répondre aux besoins d'accompagnement social, d'actions d'adaptation à la vie active et d'insertion professionnelle des personnes et familles mentionnées au premier alinéa du présent article.</w:t>
      </w:r>
      <w:r w:rsidRPr="00874A27">
        <w:rPr>
          <w:rFonts w:ascii="Arial" w:eastAsia="Times New Roman" w:hAnsi="Arial" w:cs="Arial"/>
          <w:color w:val="000000"/>
          <w:sz w:val="19"/>
          <w:szCs w:val="19"/>
          <w:lang w:eastAsia="fr-FR"/>
        </w:rPr>
        <w:br/>
        <w:t>« Il comprend également des mesures destinées à lutter contre la précarité énergétique.</w:t>
      </w:r>
      <w:r w:rsidRPr="00874A27">
        <w:rPr>
          <w:rFonts w:ascii="Arial" w:eastAsia="Times New Roman" w:hAnsi="Arial" w:cs="Arial"/>
          <w:color w:val="000000"/>
          <w:sz w:val="19"/>
          <w:szCs w:val="19"/>
          <w:lang w:eastAsia="fr-FR"/>
        </w:rPr>
        <w:br/>
        <w:t>« Il inclut une annexe, arrêtée par le représentant de l'Etat dans le département, comportant le schéma de couverture de l'offre de domiciliation ainsi que les modalités de son suivi et de coordination des acteurs.</w:t>
      </w:r>
      <w:r w:rsidRPr="00874A27">
        <w:rPr>
          <w:rFonts w:ascii="Arial" w:eastAsia="Times New Roman" w:hAnsi="Arial" w:cs="Arial"/>
          <w:color w:val="000000"/>
          <w:sz w:val="19"/>
          <w:szCs w:val="19"/>
          <w:lang w:eastAsia="fr-FR"/>
        </w:rPr>
        <w:br/>
        <w:t>« Une commission du comité régional de l'habitat et de l'hébergement prévu à l'</w:t>
      </w:r>
      <w:hyperlink r:id="rId184" w:history="1">
        <w:r w:rsidRPr="00874A27">
          <w:rPr>
            <w:rFonts w:ascii="Arial" w:eastAsia="Times New Roman" w:hAnsi="Arial" w:cs="Arial"/>
            <w:color w:val="336699"/>
            <w:sz w:val="19"/>
            <w:szCs w:val="19"/>
            <w:u w:val="single"/>
            <w:lang w:eastAsia="fr-FR"/>
          </w:rPr>
          <w:t>article L. 364-1 du code de la construction et de l'habitation </w:t>
        </w:r>
      </w:hyperlink>
      <w:r w:rsidRPr="00874A27">
        <w:rPr>
          <w:rFonts w:ascii="Arial" w:eastAsia="Times New Roman" w:hAnsi="Arial" w:cs="Arial"/>
          <w:color w:val="000000"/>
          <w:sz w:val="19"/>
          <w:szCs w:val="19"/>
          <w:lang w:eastAsia="fr-FR"/>
        </w:rPr>
        <w:t>est chargée d'assurer la coordination des plans départementaux d'action pour le logement et l'hébergement des personnes défavorisées ainsi que leur évaluation, y compris à mi-parcours. Sa composition est fixée par décret en Conseil d'Etat.</w:t>
      </w:r>
      <w:r w:rsidRPr="00874A27">
        <w:rPr>
          <w:rFonts w:ascii="Arial" w:eastAsia="Times New Roman" w:hAnsi="Arial" w:cs="Arial"/>
          <w:color w:val="000000"/>
          <w:sz w:val="19"/>
          <w:szCs w:val="19"/>
          <w:lang w:eastAsia="fr-FR"/>
        </w:rPr>
        <w:br/>
        <w:t>« Art. 3.-Le plan départemental est élaboré et mis en œuvre par l'Etat et le département. Ils constituent à cette fin un comité responsable du plan, coprésidé par le représentant de l'Etat dans le département et le président du conseil général, qui en nomment conjointement les membres.</w:t>
      </w:r>
      <w:r w:rsidRPr="00874A27">
        <w:rPr>
          <w:rFonts w:ascii="Arial" w:eastAsia="Times New Roman" w:hAnsi="Arial" w:cs="Arial"/>
          <w:color w:val="000000"/>
          <w:sz w:val="19"/>
          <w:szCs w:val="19"/>
          <w:lang w:eastAsia="fr-FR"/>
        </w:rPr>
        <w:br/>
        <w:t>« Le comité responsable du plan associe à l'élaboration du plan des représentants des communes ou de leurs groupements et des autres personnes morales concernées, notamment les associations dont l'un des objets est la lutte contre les exclusions, l'insertion ou le logement des personnes défavorisées et les associations de défense des personnes en situation d'exclusion par le logement, les organismes qui exercent des activités de maîtrise d'ouvrage, des activités d'ingénierie sociale, financière et technique et des activités d'intermédiation locative et de gestion locative sociale disposant des agréments définis aux </w:t>
      </w:r>
      <w:hyperlink r:id="rId185" w:history="1">
        <w:r w:rsidRPr="00874A27">
          <w:rPr>
            <w:rFonts w:ascii="Arial" w:eastAsia="Times New Roman" w:hAnsi="Arial" w:cs="Arial"/>
            <w:color w:val="336699"/>
            <w:sz w:val="19"/>
            <w:szCs w:val="19"/>
            <w:u w:val="single"/>
            <w:lang w:eastAsia="fr-FR"/>
          </w:rPr>
          <w:t>articles L. 365-2 à L. 365-4 du code de la construction et de l'habitation</w:t>
        </w:r>
      </w:hyperlink>
      <w:r w:rsidRPr="00874A27">
        <w:rPr>
          <w:rFonts w:ascii="Arial" w:eastAsia="Times New Roman" w:hAnsi="Arial" w:cs="Arial"/>
          <w:color w:val="000000"/>
          <w:sz w:val="19"/>
          <w:szCs w:val="19"/>
          <w:lang w:eastAsia="fr-FR"/>
        </w:rPr>
        <w:t xml:space="preserve">, les caisses d'allocations familiales, les caisses de mutualité sociale agricole, les distributeurs d'eau et les fournisseurs d'énergie, les opérateurs de services téléphoniques, les bailleurs publics ou privés, les collecteurs de la participation des employeurs à </w:t>
      </w:r>
      <w:r w:rsidRPr="00874A27">
        <w:rPr>
          <w:rFonts w:ascii="Arial" w:eastAsia="Times New Roman" w:hAnsi="Arial" w:cs="Arial"/>
          <w:color w:val="000000"/>
          <w:sz w:val="19"/>
          <w:szCs w:val="19"/>
          <w:lang w:eastAsia="fr-FR"/>
        </w:rPr>
        <w:lastRenderedPageBreak/>
        <w:t>l'effort de construction, ainsi que des personnes mentionnées au premier alinéa de l'article 2 de la présente loi. Il peut également les associer à la mise en œuvre du plan et confier pour partie celle-ci à des instances locales, en tenant compte du périmètre des établissements publics de coopération intercommunale compétents en matière d'habitat.</w:t>
      </w:r>
      <w:r w:rsidRPr="00874A27">
        <w:rPr>
          <w:rFonts w:ascii="Arial" w:eastAsia="Times New Roman" w:hAnsi="Arial" w:cs="Arial"/>
          <w:color w:val="000000"/>
          <w:sz w:val="19"/>
          <w:szCs w:val="19"/>
          <w:lang w:eastAsia="fr-FR"/>
        </w:rPr>
        <w:br/>
        <w:t>« Le comité responsable du plan dispose de tous les éléments d'information relatifs aux demandes enregistrées dans le système national d'enregistrement prévu à l'article L. 441-2-1 du même code.</w:t>
      </w:r>
      <w:r w:rsidRPr="00874A27">
        <w:rPr>
          <w:rFonts w:ascii="Arial" w:eastAsia="Times New Roman" w:hAnsi="Arial" w:cs="Arial"/>
          <w:color w:val="000000"/>
          <w:sz w:val="19"/>
          <w:szCs w:val="19"/>
          <w:lang w:eastAsia="fr-FR"/>
        </w:rPr>
        <w:br/>
        <w:t>« Les autorités publiques compétentes et les organismes payeurs des aides personnelles au logement transmettent au comité responsable du plan les mesures de police arrêtées et les constats de non-décence effectués ainsi que l'identification des logements, installations et locaux repérés comme indignes et non décents.</w:t>
      </w:r>
      <w:r w:rsidRPr="00874A27">
        <w:rPr>
          <w:rFonts w:ascii="Arial" w:eastAsia="Times New Roman" w:hAnsi="Arial" w:cs="Arial"/>
          <w:color w:val="000000"/>
          <w:sz w:val="19"/>
          <w:szCs w:val="19"/>
          <w:lang w:eastAsia="fr-FR"/>
        </w:rPr>
        <w:br/>
        <w:t>« Le comité responsable du plan met en place un observatoire des logements indignes et des locaux impropres à l'habitation, des logements considérés comme non décents à la suite d'un contrôle des organismes payeurs des aides personnelles au logement ainsi que des terrains supportant un habitat informel et des secteurs d'habitat informel, notamment en Guadeloupe, en Guyane, en Martinique, à Mayotte et à La Réunion, afin d'élaborer les actions de résorption correspondantes. Y figurent les noms des propriétaires tels qu'ils figurent au fichier immobilier ou au livre foncier.</w:t>
      </w:r>
      <w:r w:rsidRPr="00874A27">
        <w:rPr>
          <w:rFonts w:ascii="Arial" w:eastAsia="Times New Roman" w:hAnsi="Arial" w:cs="Arial"/>
          <w:color w:val="000000"/>
          <w:sz w:val="19"/>
          <w:szCs w:val="19"/>
          <w:lang w:eastAsia="fr-FR"/>
        </w:rPr>
        <w:br/>
        <w:t>« Afin de mettre en œuvre la politique de lutte contre l'habitat indigne, les comités transmettent chaque année au ministre chargé du logement et, pour la Guadeloupe, la Guyane, la Martinique, Mayotte et La Réunion, au ministre chargé de l'outre-mer les données statistiques agrégées relatives au stock de locaux, installations ou logements figurant dans l'observatoire ainsi que le nombre de situations traitées au cours de l'année.</w:t>
      </w:r>
      <w:r w:rsidRPr="00874A27">
        <w:rPr>
          <w:rFonts w:ascii="Arial" w:eastAsia="Times New Roman" w:hAnsi="Arial" w:cs="Arial"/>
          <w:color w:val="000000"/>
          <w:sz w:val="19"/>
          <w:szCs w:val="19"/>
          <w:lang w:eastAsia="fr-FR"/>
        </w:rPr>
        <w:br/>
        <w:t>« Le comité responsable du plan émet un avis sur les accords prévus aux articles </w:t>
      </w:r>
      <w:hyperlink r:id="rId186" w:history="1">
        <w:r w:rsidRPr="00874A27">
          <w:rPr>
            <w:rFonts w:ascii="Arial" w:eastAsia="Times New Roman" w:hAnsi="Arial" w:cs="Arial"/>
            <w:color w:val="336699"/>
            <w:sz w:val="19"/>
            <w:szCs w:val="19"/>
            <w:u w:val="single"/>
            <w:lang w:eastAsia="fr-FR"/>
          </w:rPr>
          <w:t>L. 441-1-1 </w:t>
        </w:r>
      </w:hyperlink>
      <w:r w:rsidRPr="00874A27">
        <w:rPr>
          <w:rFonts w:ascii="Arial" w:eastAsia="Times New Roman" w:hAnsi="Arial" w:cs="Arial"/>
          <w:color w:val="000000"/>
          <w:sz w:val="19"/>
          <w:szCs w:val="19"/>
          <w:lang w:eastAsia="fr-FR"/>
        </w:rPr>
        <w:t>et </w:t>
      </w:r>
      <w:hyperlink r:id="rId187" w:history="1">
        <w:r w:rsidRPr="00874A27">
          <w:rPr>
            <w:rFonts w:ascii="Arial" w:eastAsia="Times New Roman" w:hAnsi="Arial" w:cs="Arial"/>
            <w:color w:val="336699"/>
            <w:sz w:val="19"/>
            <w:szCs w:val="19"/>
            <w:u w:val="single"/>
            <w:lang w:eastAsia="fr-FR"/>
          </w:rPr>
          <w:t>L. 441-1-2 </w:t>
        </w:r>
      </w:hyperlink>
      <w:r w:rsidRPr="00874A27">
        <w:rPr>
          <w:rFonts w:ascii="Arial" w:eastAsia="Times New Roman" w:hAnsi="Arial" w:cs="Arial"/>
          <w:color w:val="000000"/>
          <w:sz w:val="19"/>
          <w:szCs w:val="19"/>
          <w:lang w:eastAsia="fr-FR"/>
        </w:rPr>
        <w:t>du code de la construction et de l'habitation.</w:t>
      </w:r>
      <w:r w:rsidRPr="00874A27">
        <w:rPr>
          <w:rFonts w:ascii="Arial" w:eastAsia="Times New Roman" w:hAnsi="Arial" w:cs="Arial"/>
          <w:color w:val="000000"/>
          <w:sz w:val="19"/>
          <w:szCs w:val="19"/>
          <w:lang w:eastAsia="fr-FR"/>
        </w:rPr>
        <w:br/>
        <w:t>« Art. 4.-I. ― Le plan départemental est établi pour une durée maximale de six ans. Il est révisé selon les modalités prévues pour son élaboration.</w:t>
      </w:r>
      <w:r w:rsidRPr="00874A27">
        <w:rPr>
          <w:rFonts w:ascii="Arial" w:eastAsia="Times New Roman" w:hAnsi="Arial" w:cs="Arial"/>
          <w:color w:val="000000"/>
          <w:sz w:val="19"/>
          <w:szCs w:val="19"/>
          <w:lang w:eastAsia="fr-FR"/>
        </w:rPr>
        <w:br/>
        <w:t>« II. ― Le plan départemental est fondé sur une évaluation des besoins des personnes mentionnées à l'article 2 de la présente loi dépourvues de logement ou mal logées, quelle que soit la forme de leur habitat, notamment celles, énumérées aux a à </w:t>
      </w:r>
      <w:hyperlink r:id="rId188" w:history="1">
        <w:r w:rsidRPr="00874A27">
          <w:rPr>
            <w:rFonts w:ascii="Arial" w:eastAsia="Times New Roman" w:hAnsi="Arial" w:cs="Arial"/>
            <w:color w:val="336699"/>
            <w:sz w:val="19"/>
            <w:szCs w:val="19"/>
            <w:u w:val="single"/>
            <w:lang w:eastAsia="fr-FR"/>
          </w:rPr>
          <w:t>e de l'article L. 441-1 du code de la construction et de l'habitation</w:t>
        </w:r>
      </w:hyperlink>
      <w:r w:rsidRPr="00874A27">
        <w:rPr>
          <w:rFonts w:ascii="Arial" w:eastAsia="Times New Roman" w:hAnsi="Arial" w:cs="Arial"/>
          <w:color w:val="000000"/>
          <w:sz w:val="19"/>
          <w:szCs w:val="19"/>
          <w:lang w:eastAsia="fr-FR"/>
        </w:rPr>
        <w:t>, auxquelles priorité doit être donnée pour l'attribution de logements. Il évalue également les besoins des personnes dont la difficulté d'accès ou de maintien dans un logement provient de difficultés financières ou du cumul de difficultés financières et de difficultés d'insertion sociale. Il prend également en compte les besoins des personnes victimes de violences au sein de leur couple ou de leur famille, menacées de mariage forcé ou contraintes de quitter leur logement après des menaces de violence ou des violences effectivement subies. Ces situations sont prises en compte sans que la circonstance que les personnes concernées bénéficient d'un contrat de location au titre du logement occupé par le couple ou qu'elles en soient propriétaires puisse y faire obstacle.</w:t>
      </w:r>
      <w:r w:rsidRPr="00874A27">
        <w:rPr>
          <w:rFonts w:ascii="Arial" w:eastAsia="Times New Roman" w:hAnsi="Arial" w:cs="Arial"/>
          <w:color w:val="000000"/>
          <w:sz w:val="19"/>
          <w:szCs w:val="19"/>
          <w:lang w:eastAsia="fr-FR"/>
        </w:rPr>
        <w:br/>
        <w:t>« Cette évaluation est territorialisée et tient notamment compte du périmètre des établissements publics de coopération intercommunale compétents en matière d'habitat.</w:t>
      </w:r>
      <w:r w:rsidRPr="00874A27">
        <w:rPr>
          <w:rFonts w:ascii="Arial" w:eastAsia="Times New Roman" w:hAnsi="Arial" w:cs="Arial"/>
          <w:color w:val="000000"/>
          <w:sz w:val="19"/>
          <w:szCs w:val="19"/>
          <w:lang w:eastAsia="fr-FR"/>
        </w:rPr>
        <w:br/>
        <w:t>« Sont en outre identifiés les terrains supportant un habitat informel et les secteurs d'habitat informel.</w:t>
      </w:r>
      <w:r w:rsidRPr="00874A27">
        <w:rPr>
          <w:rFonts w:ascii="Arial" w:eastAsia="Times New Roman" w:hAnsi="Arial" w:cs="Arial"/>
          <w:color w:val="000000"/>
          <w:sz w:val="19"/>
          <w:szCs w:val="19"/>
          <w:lang w:eastAsia="fr-FR"/>
        </w:rPr>
        <w:br/>
        <w:t>« III. ― Le plan établit les priorités au niveau départemental à accorder aux personnes et familles sans aucun logement, menacées d'expulsion sans relogement, hébergées ou logées temporairement ou exposées à des situations d'habitat indigne, ainsi qu'à celles qui sont confrontées à un cumul de difficultés, en incluant les personnes reconnues prioritaires en application des I et II de l'article L. 441-2-3-1 et du </w:t>
      </w:r>
      <w:hyperlink r:id="rId189" w:history="1">
        <w:r w:rsidRPr="00874A27">
          <w:rPr>
            <w:rFonts w:ascii="Arial" w:eastAsia="Times New Roman" w:hAnsi="Arial" w:cs="Arial"/>
            <w:color w:val="336699"/>
            <w:sz w:val="19"/>
            <w:szCs w:val="19"/>
            <w:u w:val="single"/>
            <w:lang w:eastAsia="fr-FR"/>
          </w:rPr>
          <w:t>II de l'article L. 521-3-1 du code de la construction et de l'habitation </w:t>
        </w:r>
      </w:hyperlink>
      <w:r w:rsidRPr="00874A27">
        <w:rPr>
          <w:rFonts w:ascii="Arial" w:eastAsia="Times New Roman" w:hAnsi="Arial" w:cs="Arial"/>
          <w:color w:val="000000"/>
          <w:sz w:val="19"/>
          <w:szCs w:val="19"/>
          <w:lang w:eastAsia="fr-FR"/>
        </w:rPr>
        <w:t>et en tenant compte des critères mentionnés à l'article L. 441-1 du même code.</w:t>
      </w:r>
      <w:r w:rsidRPr="00874A27">
        <w:rPr>
          <w:rFonts w:ascii="Arial" w:eastAsia="Times New Roman" w:hAnsi="Arial" w:cs="Arial"/>
          <w:color w:val="000000"/>
          <w:sz w:val="19"/>
          <w:szCs w:val="19"/>
          <w:lang w:eastAsia="fr-FR"/>
        </w:rPr>
        <w:br/>
        <w:t>« IV. ― Le plan fixe, de manière territorialisée, en tenant compte des programmes locaux de l'habitat et des bassins d'habitat, les objectifs à atteindre pour assurer aux personnes et familles concernées par le plan la mise à disposition durable d'un logement et pour garantir la mixité sociale des villes et des quartiers, ainsi que les objectifs à atteindre en matière d'accueil, d'hébergement et d'accompagnement vers l'insertion et le logement des personnes sans domicile. A cette fin, il définit les mesures adaptées concernant :</w:t>
      </w:r>
      <w:r w:rsidRPr="00874A27">
        <w:rPr>
          <w:rFonts w:ascii="Arial" w:eastAsia="Times New Roman" w:hAnsi="Arial" w:cs="Arial"/>
          <w:color w:val="000000"/>
          <w:sz w:val="19"/>
          <w:szCs w:val="19"/>
          <w:lang w:eastAsia="fr-FR"/>
        </w:rPr>
        <w:br/>
        <w:t>« 1° Le suivi des demandes de logement et d'hébergement des personnes et familles concernées par le plan ;</w:t>
      </w:r>
      <w:r w:rsidRPr="00874A27">
        <w:rPr>
          <w:rFonts w:ascii="Arial" w:eastAsia="Times New Roman" w:hAnsi="Arial" w:cs="Arial"/>
          <w:color w:val="000000"/>
          <w:sz w:val="19"/>
          <w:szCs w:val="19"/>
          <w:lang w:eastAsia="fr-FR"/>
        </w:rPr>
        <w:br/>
        <w:t>« 2° La création ou la mobilisation d'une offre adaptée de logement et d'hébergement ;</w:t>
      </w:r>
      <w:r w:rsidRPr="00874A27">
        <w:rPr>
          <w:rFonts w:ascii="Arial" w:eastAsia="Times New Roman" w:hAnsi="Arial" w:cs="Arial"/>
          <w:color w:val="000000"/>
          <w:sz w:val="19"/>
          <w:szCs w:val="19"/>
          <w:lang w:eastAsia="fr-FR"/>
        </w:rPr>
        <w:br/>
        <w:t>« 3° Les principes propres à améliorer la coordination des attributions prioritaires de logements ;</w:t>
      </w:r>
      <w:r w:rsidRPr="00874A27">
        <w:rPr>
          <w:rFonts w:ascii="Arial" w:eastAsia="Times New Roman" w:hAnsi="Arial" w:cs="Arial"/>
          <w:color w:val="000000"/>
          <w:sz w:val="19"/>
          <w:szCs w:val="19"/>
          <w:lang w:eastAsia="fr-FR"/>
        </w:rPr>
        <w:br/>
        <w:t>« 4° La prévention des expulsions locatives, l'organisation des acteurs qui y contribuent ainsi que les actions d'enquête, de diagnostic et d'accompagnement social correspondantes ;</w:t>
      </w:r>
      <w:r w:rsidRPr="00874A27">
        <w:rPr>
          <w:rFonts w:ascii="Arial" w:eastAsia="Times New Roman" w:hAnsi="Arial" w:cs="Arial"/>
          <w:color w:val="000000"/>
          <w:sz w:val="19"/>
          <w:szCs w:val="19"/>
          <w:lang w:eastAsia="fr-FR"/>
        </w:rPr>
        <w:br/>
        <w:t>« 5° La contribution des fonds de solidarité pour le logement à la réalisation des objectifs du plan ;</w:t>
      </w:r>
      <w:r w:rsidRPr="00874A27">
        <w:rPr>
          <w:rFonts w:ascii="Arial" w:eastAsia="Times New Roman" w:hAnsi="Arial" w:cs="Arial"/>
          <w:color w:val="000000"/>
          <w:sz w:val="19"/>
          <w:szCs w:val="19"/>
          <w:lang w:eastAsia="fr-FR"/>
        </w:rPr>
        <w:br/>
        <w:t xml:space="preserve">« 6° Le repérage et la résorption des logements indignes, des logements non décents, des locaux impropres à l'habitation et, s'il y a lieu, des terrains supportant un habitat informel et des secteurs </w:t>
      </w:r>
      <w:r w:rsidRPr="00874A27">
        <w:rPr>
          <w:rFonts w:ascii="Arial" w:eastAsia="Times New Roman" w:hAnsi="Arial" w:cs="Arial"/>
          <w:color w:val="000000"/>
          <w:sz w:val="19"/>
          <w:szCs w:val="19"/>
          <w:lang w:eastAsia="fr-FR"/>
        </w:rPr>
        <w:lastRenderedPageBreak/>
        <w:t>d'habitat informel ainsi que les actions de diagnostic, d'accompagnement social, d'hébergement temporaire ou de relogement adapté correspondantes ;</w:t>
      </w:r>
      <w:r w:rsidRPr="00874A27">
        <w:rPr>
          <w:rFonts w:ascii="Arial" w:eastAsia="Times New Roman" w:hAnsi="Arial" w:cs="Arial"/>
          <w:color w:val="000000"/>
          <w:sz w:val="19"/>
          <w:szCs w:val="19"/>
          <w:lang w:eastAsia="fr-FR"/>
        </w:rPr>
        <w:br/>
        <w:t>« 7° La mobilisation de logements dans le parc privé, selon des modalités concertées et cohérentes, comprenant notamment le recours aux actions d'intermédiation locative ;</w:t>
      </w:r>
      <w:r w:rsidRPr="00874A27">
        <w:rPr>
          <w:rFonts w:ascii="Arial" w:eastAsia="Times New Roman" w:hAnsi="Arial" w:cs="Arial"/>
          <w:color w:val="000000"/>
          <w:sz w:val="19"/>
          <w:szCs w:val="19"/>
          <w:lang w:eastAsia="fr-FR"/>
        </w:rPr>
        <w:br/>
        <w:t>« 8° Les objectifs de développement ou d'évolution de l'offre existante relevant du secteur de l'accueil, de l'hébergement et de l'accompagnement vers l'insertion et le logement ;</w:t>
      </w:r>
      <w:r w:rsidRPr="00874A27">
        <w:rPr>
          <w:rFonts w:ascii="Arial" w:eastAsia="Times New Roman" w:hAnsi="Arial" w:cs="Arial"/>
          <w:color w:val="000000"/>
          <w:sz w:val="19"/>
          <w:szCs w:val="19"/>
          <w:lang w:eastAsia="fr-FR"/>
        </w:rPr>
        <w:br/>
        <w:t>« 9° L'offre globale de services d'accompagnement vers et dans le logement et de diagnostics sociaux ainsi que les modalités de répartition, entre les partenaires du plan, de leur réalisation et de leur financement. Il précise également le cadre de la coopération et de la coordination entre ces partenaires ;</w:t>
      </w:r>
      <w:r w:rsidRPr="00874A27">
        <w:rPr>
          <w:rFonts w:ascii="Arial" w:eastAsia="Times New Roman" w:hAnsi="Arial" w:cs="Arial"/>
          <w:color w:val="000000"/>
          <w:sz w:val="19"/>
          <w:szCs w:val="19"/>
          <w:lang w:eastAsia="fr-FR"/>
        </w:rPr>
        <w:br/>
        <w:t>« 10° La lutte contre la précarité énergétique.</w:t>
      </w:r>
      <w:r w:rsidRPr="00874A27">
        <w:rPr>
          <w:rFonts w:ascii="Arial" w:eastAsia="Times New Roman" w:hAnsi="Arial" w:cs="Arial"/>
          <w:color w:val="000000"/>
          <w:sz w:val="19"/>
          <w:szCs w:val="19"/>
          <w:lang w:eastAsia="fr-FR"/>
        </w:rPr>
        <w:br/>
        <w:t>« Le plan départemental précise, pour chacun de ces points, la ou les collectivités ou leurs groupements chargés de leur mise en œuvre dans le respect de leurs compétences respectives, telles que définies par le </w:t>
      </w:r>
      <w:hyperlink r:id="rId190" w:history="1">
        <w:r w:rsidRPr="00874A27">
          <w:rPr>
            <w:rFonts w:ascii="Arial" w:eastAsia="Times New Roman" w:hAnsi="Arial" w:cs="Arial"/>
            <w:color w:val="336699"/>
            <w:sz w:val="19"/>
            <w:szCs w:val="19"/>
            <w:u w:val="single"/>
            <w:lang w:eastAsia="fr-FR"/>
          </w:rPr>
          <w:t>code général des collectivités territoriales</w:t>
        </w:r>
      </w:hyperlink>
      <w:r w:rsidRPr="00874A27">
        <w:rPr>
          <w:rFonts w:ascii="Arial" w:eastAsia="Times New Roman" w:hAnsi="Arial" w:cs="Arial"/>
          <w:color w:val="000000"/>
          <w:sz w:val="19"/>
          <w:szCs w:val="19"/>
          <w:lang w:eastAsia="fr-FR"/>
        </w:rPr>
        <w:t>. » ;</w:t>
      </w:r>
      <w:r w:rsidRPr="00874A27">
        <w:rPr>
          <w:rFonts w:ascii="Arial" w:eastAsia="Times New Roman" w:hAnsi="Arial" w:cs="Arial"/>
          <w:color w:val="000000"/>
          <w:sz w:val="19"/>
          <w:szCs w:val="19"/>
          <w:lang w:eastAsia="fr-FR"/>
        </w:rPr>
        <w:br/>
        <w:t>4° Après l'article 4, sont insérés des articles 4-1 et 4-2 ainsi rédigés :</w:t>
      </w:r>
      <w:r w:rsidRPr="00874A27">
        <w:rPr>
          <w:rFonts w:ascii="Arial" w:eastAsia="Times New Roman" w:hAnsi="Arial" w:cs="Arial"/>
          <w:color w:val="000000"/>
          <w:sz w:val="19"/>
          <w:szCs w:val="19"/>
          <w:lang w:eastAsia="fr-FR"/>
        </w:rPr>
        <w:br/>
        <w:t>« Art. 4-1.-Le plan départemental est adopté conjointement par le président du conseil général et le représentant de l'Etat dans le département, après avis du comité régional de l'habitat et de l'hébergement et, dans les départements d'outre-mer, des conseils départementaux de l'habitat et de l'hébergement prévus à l'</w:t>
      </w:r>
      <w:hyperlink r:id="rId191" w:history="1">
        <w:r w:rsidRPr="00874A27">
          <w:rPr>
            <w:rFonts w:ascii="Arial" w:eastAsia="Times New Roman" w:hAnsi="Arial" w:cs="Arial"/>
            <w:color w:val="336699"/>
            <w:sz w:val="19"/>
            <w:szCs w:val="19"/>
            <w:u w:val="single"/>
            <w:lang w:eastAsia="fr-FR"/>
          </w:rPr>
          <w:t>article L. 364-1 du code de la construction et de l'habitation </w:t>
        </w:r>
      </w:hyperlink>
      <w:r w:rsidRPr="00874A27">
        <w:rPr>
          <w:rFonts w:ascii="Arial" w:eastAsia="Times New Roman" w:hAnsi="Arial" w:cs="Arial"/>
          <w:color w:val="000000"/>
          <w:sz w:val="19"/>
          <w:szCs w:val="19"/>
          <w:lang w:eastAsia="fr-FR"/>
        </w:rPr>
        <w:t>ainsi que du conseil départemental d'insertion. Il est rendu public.</w:t>
      </w:r>
      <w:r w:rsidRPr="00874A27">
        <w:rPr>
          <w:rFonts w:ascii="Arial" w:eastAsia="Times New Roman" w:hAnsi="Arial" w:cs="Arial"/>
          <w:color w:val="000000"/>
          <w:sz w:val="19"/>
          <w:szCs w:val="19"/>
          <w:lang w:eastAsia="fr-FR"/>
        </w:rPr>
        <w:br/>
        <w:t>« Les établissements publics de coopération intercommunale compétents en matière d'habitat, auxquels le représentant de l'Etat dans le département et le maire délèguent leurs pouvoirs de police dans les conditions prévues à l'article L. 301-5-1-1 du code de la construction et de l'habitation, sont chargés de la coordination des mesures mentionnées au 6° du IV de l'article 4 de la présente loi, pour les territoires qui les concernent.</w:t>
      </w:r>
      <w:r w:rsidRPr="00874A27">
        <w:rPr>
          <w:rFonts w:ascii="Arial" w:eastAsia="Times New Roman" w:hAnsi="Arial" w:cs="Arial"/>
          <w:color w:val="000000"/>
          <w:sz w:val="19"/>
          <w:szCs w:val="19"/>
          <w:lang w:eastAsia="fr-FR"/>
        </w:rPr>
        <w:br/>
        <w:t>« Art. 4-2.-Le président du conseil général présente annuellement au comité responsable du plan départemental d'action pour le logement et l'hébergement des personnes défavorisées le bilan d'activité du fonds de solidarité pour le logement ainsi que la contribution des services sociaux du conseil général à l'accompagnement social lié au logement, aux enquêtes sociales et aux diagnostics sociaux. »</w:t>
      </w:r>
      <w:r w:rsidRPr="00874A27">
        <w:rPr>
          <w:rFonts w:ascii="Arial" w:eastAsia="Times New Roman" w:hAnsi="Arial" w:cs="Arial"/>
          <w:color w:val="000000"/>
          <w:sz w:val="19"/>
          <w:szCs w:val="19"/>
          <w:lang w:eastAsia="fr-FR"/>
        </w:rPr>
        <w:br/>
        <w:t>IV. ― Le premier plan départemental d'action pour le logement et l'hébergement des personnes défavorisées entre en vigueur à la date à laquelle prend fin le plan départemental d'action pour le logement des personnes défavorisées en cours à la date de publication de la présente loi ou, si elle est plus proche, celle à laquelle prend fin le plan d'accueil, d'hébergement et d'insertion des personnes sans domicile et, au plus tard, à l'expiration d'un délai de trois ans à compter de la promulgation de la présente loi.</w:t>
      </w:r>
      <w:r w:rsidRPr="00874A27">
        <w:rPr>
          <w:rFonts w:ascii="Arial" w:eastAsia="Times New Roman" w:hAnsi="Arial" w:cs="Arial"/>
          <w:color w:val="000000"/>
          <w:sz w:val="19"/>
          <w:szCs w:val="19"/>
          <w:lang w:eastAsia="fr-FR"/>
        </w:rPr>
        <w:br/>
        <w:t>V. ― Le code de la construction et de l'habitation est ainsi modifié :</w:t>
      </w:r>
      <w:r w:rsidRPr="00874A27">
        <w:rPr>
          <w:rFonts w:ascii="Arial" w:eastAsia="Times New Roman" w:hAnsi="Arial" w:cs="Arial"/>
          <w:color w:val="000000"/>
          <w:sz w:val="19"/>
          <w:szCs w:val="19"/>
          <w:lang w:eastAsia="fr-FR"/>
        </w:rPr>
        <w:br/>
        <w:t>1° A la première phrase du quatrième alinéa de l'article L. 302-7, après la première occurrence du mot : « sociaux », sont insérés les mots : «, du financement des dépenses engagées pour financer des dispositifs d'intermédiation locative dans le parc privé répondant aux conditions prévues à l'article L. 321-10 dans la limite d'un plafond fixé, selon la localisation de la commune et sans pouvoir être supérieur à 5 000 € par logement et par an, par décret en Conseil d'Etat » ;</w:t>
      </w:r>
      <w:r w:rsidRPr="00874A27">
        <w:rPr>
          <w:rFonts w:ascii="Arial" w:eastAsia="Times New Roman" w:hAnsi="Arial" w:cs="Arial"/>
          <w:color w:val="000000"/>
          <w:sz w:val="19"/>
          <w:szCs w:val="19"/>
          <w:lang w:eastAsia="fr-FR"/>
        </w:rPr>
        <w:br/>
        <w:t>2° L'article L. 302-9-1 est complété par un alinéa ainsi rédigé :</w:t>
      </w:r>
      <w:r w:rsidRPr="00874A27">
        <w:rPr>
          <w:rFonts w:ascii="Arial" w:eastAsia="Times New Roman" w:hAnsi="Arial" w:cs="Arial"/>
          <w:color w:val="000000"/>
          <w:sz w:val="19"/>
          <w:szCs w:val="19"/>
          <w:lang w:eastAsia="fr-FR"/>
        </w:rPr>
        <w:br/>
        <w:t>« Lorsqu'il a constaté la carence d'une commune en application du présent article, le préfet peut, après avoir recueilli l'avis de la commune, conclure une convention avec un ou plusieurs organismes bénéficiant de l'agrément mentionné à l'article L. 365-4 afin de mettre en œuvre sur le territoire de la commune, au sein du parc privé, un dispositif d'intermédiation locative dans les conditions prévues à l'article L. 321-10. Cette convention prévoit, dans la limite du plafond mentionné au quatrième alinéa de l'article L. 302-7, une contribution financière de la commune, qui est déduite du prélèvement défini au même article L. 302-7. »</w:t>
      </w:r>
    </w:p>
    <w:p w:rsidR="00874A27" w:rsidRPr="00874A27" w:rsidRDefault="00874A27" w:rsidP="00874A27">
      <w:pPr>
        <w:shd w:val="clear" w:color="auto" w:fill="FFFFFF"/>
        <w:spacing w:beforeAutospacing="1" w:after="0" w:afterAutospacing="1" w:line="240" w:lineRule="auto"/>
        <w:ind w:left="720"/>
        <w:jc w:val="center"/>
        <w:rPr>
          <w:rFonts w:ascii="Arial" w:eastAsia="Times New Roman" w:hAnsi="Arial" w:cs="Arial"/>
          <w:b/>
          <w:bCs/>
          <w:color w:val="000000"/>
          <w:sz w:val="23"/>
          <w:szCs w:val="23"/>
          <w:lang w:eastAsia="fr-FR"/>
        </w:rPr>
      </w:pPr>
      <w:bookmarkStart w:id="34" w:name="JORFARTI000028774888"/>
      <w:bookmarkEnd w:id="34"/>
      <w:r w:rsidRPr="00874A27">
        <w:rPr>
          <w:rFonts w:ascii="Arial" w:eastAsia="Times New Roman" w:hAnsi="Arial" w:cs="Arial"/>
          <w:b/>
          <w:bCs/>
          <w:color w:val="000000"/>
          <w:sz w:val="23"/>
          <w:szCs w:val="23"/>
          <w:lang w:eastAsia="fr-FR"/>
        </w:rPr>
        <w:t>Article 35 </w:t>
      </w:r>
      <w:hyperlink r:id="rId192" w:tooltip="En savoir plus sur l'article 3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loi n° 90-449 du 31 mai 1990 précitée est ainsi modifiée :</w:t>
      </w:r>
      <w:r w:rsidRPr="00874A27">
        <w:rPr>
          <w:rFonts w:ascii="Arial" w:eastAsia="Times New Roman" w:hAnsi="Arial" w:cs="Arial"/>
          <w:color w:val="000000"/>
          <w:sz w:val="19"/>
          <w:szCs w:val="19"/>
          <w:lang w:eastAsia="fr-FR"/>
        </w:rPr>
        <w:br/>
        <w:t>1° A la fin du dernier alinéa de l'article 5, la référence : « 4 » est remplacée par la référence : « 3 » ;</w:t>
      </w:r>
      <w:r w:rsidRPr="00874A27">
        <w:rPr>
          <w:rFonts w:ascii="Arial" w:eastAsia="Times New Roman" w:hAnsi="Arial" w:cs="Arial"/>
          <w:color w:val="000000"/>
          <w:sz w:val="19"/>
          <w:szCs w:val="19"/>
          <w:lang w:eastAsia="fr-FR"/>
        </w:rPr>
        <w:br/>
        <w:t>2° L'article 6 est ainsi modifié :</w:t>
      </w:r>
      <w:r w:rsidRPr="00874A27">
        <w:rPr>
          <w:rFonts w:ascii="Arial" w:eastAsia="Times New Roman" w:hAnsi="Arial" w:cs="Arial"/>
          <w:color w:val="000000"/>
          <w:sz w:val="19"/>
          <w:szCs w:val="19"/>
          <w:lang w:eastAsia="fr-FR"/>
        </w:rPr>
        <w:br/>
        <w:t>a) Le troisième alinéa est ainsi rédigé :</w:t>
      </w:r>
      <w:r w:rsidRPr="00874A27">
        <w:rPr>
          <w:rFonts w:ascii="Arial" w:eastAsia="Times New Roman" w:hAnsi="Arial" w:cs="Arial"/>
          <w:color w:val="000000"/>
          <w:sz w:val="19"/>
          <w:szCs w:val="19"/>
          <w:lang w:eastAsia="fr-FR"/>
        </w:rPr>
        <w:br/>
        <w:t>« Le fonds de solidarité pour le logement, dans les conditions définies par son règlement intérieur, accorde des aides au titre des dettes de loyer et de factures d'énergie, d'eau et de téléphone, y compris dans le cadre de l'accès à un nouveau logement. » ;</w:t>
      </w:r>
      <w:r w:rsidRPr="00874A27">
        <w:rPr>
          <w:rFonts w:ascii="Arial" w:eastAsia="Times New Roman" w:hAnsi="Arial" w:cs="Arial"/>
          <w:color w:val="000000"/>
          <w:sz w:val="19"/>
          <w:szCs w:val="19"/>
          <w:lang w:eastAsia="fr-FR"/>
        </w:rPr>
        <w:br/>
        <w:t>b) Après la première phrase du septième alinéa, est insérée une phrase ainsi rédigée :</w:t>
      </w:r>
      <w:r w:rsidRPr="00874A27">
        <w:rPr>
          <w:rFonts w:ascii="Arial" w:eastAsia="Times New Roman" w:hAnsi="Arial" w:cs="Arial"/>
          <w:color w:val="000000"/>
          <w:sz w:val="19"/>
          <w:szCs w:val="19"/>
          <w:lang w:eastAsia="fr-FR"/>
        </w:rPr>
        <w:br/>
        <w:t xml:space="preserve">« Ces mesures comprennent notamment l'accompagnement des ménages dans la recherche d'un </w:t>
      </w:r>
      <w:r w:rsidRPr="00874A27">
        <w:rPr>
          <w:rFonts w:ascii="Arial" w:eastAsia="Times New Roman" w:hAnsi="Arial" w:cs="Arial"/>
          <w:color w:val="000000"/>
          <w:sz w:val="19"/>
          <w:szCs w:val="19"/>
          <w:lang w:eastAsia="fr-FR"/>
        </w:rPr>
        <w:lastRenderedPageBreak/>
        <w:t>logement et les diagnostics sociaux concernant les ménages menacés d'expulsion. » ;</w:t>
      </w:r>
      <w:r w:rsidRPr="00874A27">
        <w:rPr>
          <w:rFonts w:ascii="Arial" w:eastAsia="Times New Roman" w:hAnsi="Arial" w:cs="Arial"/>
          <w:color w:val="000000"/>
          <w:sz w:val="19"/>
          <w:szCs w:val="19"/>
          <w:lang w:eastAsia="fr-FR"/>
        </w:rPr>
        <w:br/>
        <w:t>c) Au début du huitième alinéa, les mots : « Ces aides » sont remplacés par les mots : « Les aides du fonds de solidarité » ;</w:t>
      </w:r>
      <w:r w:rsidRPr="00874A27">
        <w:rPr>
          <w:rFonts w:ascii="Arial" w:eastAsia="Times New Roman" w:hAnsi="Arial" w:cs="Arial"/>
          <w:color w:val="000000"/>
          <w:sz w:val="19"/>
          <w:szCs w:val="19"/>
          <w:lang w:eastAsia="fr-FR"/>
        </w:rPr>
        <w:br/>
        <w:t>d) Au neuvième alinéa, la référence : « 4 » est remplacée par la référence : « 3 » ;</w:t>
      </w:r>
      <w:r w:rsidRPr="00874A27">
        <w:rPr>
          <w:rFonts w:ascii="Arial" w:eastAsia="Times New Roman" w:hAnsi="Arial" w:cs="Arial"/>
          <w:color w:val="000000"/>
          <w:sz w:val="19"/>
          <w:szCs w:val="19"/>
          <w:lang w:eastAsia="fr-FR"/>
        </w:rPr>
        <w:br/>
        <w:t>e) A la première phrase du dernier alinéa, les mots : « peut également accorder une aide destinée à financer les » sont remplacés par les mots : «, dans les conditions définies par son règlement intérieur, accorde également une aide destinée à financer tout ou partie des » ;</w:t>
      </w:r>
      <w:r w:rsidRPr="00874A27">
        <w:rPr>
          <w:rFonts w:ascii="Arial" w:eastAsia="Times New Roman" w:hAnsi="Arial" w:cs="Arial"/>
          <w:color w:val="000000"/>
          <w:sz w:val="19"/>
          <w:szCs w:val="19"/>
          <w:lang w:eastAsia="fr-FR"/>
        </w:rPr>
        <w:br/>
        <w:t>3° L'article 6-1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à la première phrase, la référence : « à l'article 4 » est remplacée par la référence : « au III de l'article 4 » ;</w:t>
      </w:r>
      <w:r w:rsidRPr="00874A27">
        <w:rPr>
          <w:rFonts w:ascii="Arial" w:eastAsia="Times New Roman" w:hAnsi="Arial" w:cs="Arial"/>
          <w:color w:val="000000"/>
          <w:sz w:val="19"/>
          <w:szCs w:val="19"/>
          <w:lang w:eastAsia="fr-FR"/>
        </w:rPr>
        <w:br/>
        <w:t>― à la seconde phrase, les mots : « logement des personnes défavorisées visé à l'article 4 » sont remplacés par les mots : « logement et l'hébergement des personnes défavorisées prévu à l'article 3 » ;</w:t>
      </w:r>
      <w:r w:rsidRPr="00874A27">
        <w:rPr>
          <w:rFonts w:ascii="Arial" w:eastAsia="Times New Roman" w:hAnsi="Arial" w:cs="Arial"/>
          <w:color w:val="000000"/>
          <w:sz w:val="19"/>
          <w:szCs w:val="19"/>
          <w:lang w:eastAsia="fr-FR"/>
        </w:rPr>
        <w:br/>
        <w:t>b) Au début du cinquième alinéa, est ajoutée une phrase ainsi rédigée :</w:t>
      </w:r>
      <w:r w:rsidRPr="00874A27">
        <w:rPr>
          <w:rFonts w:ascii="Arial" w:eastAsia="Times New Roman" w:hAnsi="Arial" w:cs="Arial"/>
          <w:color w:val="000000"/>
          <w:sz w:val="19"/>
          <w:szCs w:val="19"/>
          <w:lang w:eastAsia="fr-FR"/>
        </w:rPr>
        <w:br/>
        <w:t>« L'octroi d'une aide ne peut être subordonné à l'accord du bailleur ou des autres créanciers. » ;</w:t>
      </w:r>
      <w:r w:rsidRPr="00874A27">
        <w:rPr>
          <w:rFonts w:ascii="Arial" w:eastAsia="Times New Roman" w:hAnsi="Arial" w:cs="Arial"/>
          <w:color w:val="000000"/>
          <w:sz w:val="19"/>
          <w:szCs w:val="19"/>
          <w:lang w:eastAsia="fr-FR"/>
        </w:rPr>
        <w:br/>
        <w:t>4° A la seconde phrase du premier alinéa de l'article 6-2, les mots : « mentionnée à l'</w:t>
      </w:r>
      <w:hyperlink r:id="rId193" w:history="1">
        <w:r w:rsidRPr="00874A27">
          <w:rPr>
            <w:rFonts w:ascii="Arial" w:eastAsia="Times New Roman" w:hAnsi="Arial" w:cs="Arial"/>
            <w:color w:val="336699"/>
            <w:sz w:val="19"/>
            <w:szCs w:val="19"/>
            <w:u w:val="single"/>
            <w:lang w:eastAsia="fr-FR"/>
          </w:rPr>
          <w:t>article L. 351-14 du code de la construction et de l'habitation </w:t>
        </w:r>
      </w:hyperlink>
      <w:r w:rsidRPr="00874A27">
        <w:rPr>
          <w:rFonts w:ascii="Arial" w:eastAsia="Times New Roman" w:hAnsi="Arial" w:cs="Arial"/>
          <w:color w:val="000000"/>
          <w:sz w:val="19"/>
          <w:szCs w:val="19"/>
          <w:lang w:eastAsia="fr-FR"/>
        </w:rPr>
        <w:t>» sont remplacés par les mots : « de coordination des actions de prévention des expulsions locatives, par toute instance du plan départemental d'action pour le logement et l'hébergement des personnes défavorisées » ;</w:t>
      </w:r>
      <w:r w:rsidRPr="00874A27">
        <w:rPr>
          <w:rFonts w:ascii="Arial" w:eastAsia="Times New Roman" w:hAnsi="Arial" w:cs="Arial"/>
          <w:color w:val="000000"/>
          <w:sz w:val="19"/>
          <w:szCs w:val="19"/>
          <w:lang w:eastAsia="fr-FR"/>
        </w:rPr>
        <w:br/>
        <w:t>5° Au dernier alinéa de l'article 6-3, la référence : « premier alinéa » est remplacée par la référence : « deuxième alinéa ».</w:t>
      </w:r>
    </w:p>
    <w:p w:rsidR="00874A27" w:rsidRPr="00874A27" w:rsidRDefault="00874A27" w:rsidP="00874A27">
      <w:pPr>
        <w:shd w:val="clear" w:color="auto" w:fill="FFFFFF"/>
        <w:spacing w:beforeAutospacing="1" w:after="0" w:afterAutospacing="1" w:line="240" w:lineRule="auto"/>
        <w:ind w:left="720"/>
        <w:jc w:val="center"/>
        <w:rPr>
          <w:rFonts w:ascii="Arial" w:eastAsia="Times New Roman" w:hAnsi="Arial" w:cs="Arial"/>
          <w:b/>
          <w:bCs/>
          <w:color w:val="000000"/>
          <w:sz w:val="23"/>
          <w:szCs w:val="23"/>
          <w:lang w:eastAsia="fr-FR"/>
        </w:rPr>
      </w:pPr>
      <w:bookmarkStart w:id="35" w:name="JORFARTI000028774907"/>
      <w:bookmarkEnd w:id="35"/>
      <w:r w:rsidRPr="00874A27">
        <w:rPr>
          <w:rFonts w:ascii="Arial" w:eastAsia="Times New Roman" w:hAnsi="Arial" w:cs="Arial"/>
          <w:b/>
          <w:bCs/>
          <w:color w:val="000000"/>
          <w:sz w:val="23"/>
          <w:szCs w:val="23"/>
          <w:lang w:eastAsia="fr-FR"/>
        </w:rPr>
        <w:t>Article 36 </w:t>
      </w:r>
      <w:hyperlink r:id="rId194" w:tooltip="En savoir plus sur l'article 36&#1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troisième alinéa de l'article 6 de la même loi, tel qu'il résulte de l'article 35 de la présente loi, est complété par deux phrases ainsi rédigées :</w:t>
      </w:r>
      <w:r w:rsidRPr="00874A27">
        <w:rPr>
          <w:rFonts w:ascii="Arial" w:eastAsia="Times New Roman" w:hAnsi="Arial" w:cs="Arial"/>
          <w:color w:val="000000"/>
          <w:sz w:val="19"/>
          <w:szCs w:val="19"/>
          <w:lang w:eastAsia="fr-FR"/>
        </w:rPr>
        <w:br/>
        <w:t>« Le fonds de solidarité pour le logement fait connaître son rapport annuel d'activité au ministre chargé du logement. Ce rapport annuel d'activité fait l'objet d'une présentation et d'un débat au comité régional de l'habitat et de l'hébergement, insistant notamment sur ses bonnes pratiques transposables à d'autres territoires. »</w:t>
      </w:r>
    </w:p>
    <w:p w:rsidR="00874A27" w:rsidRPr="00874A27" w:rsidRDefault="00874A27" w:rsidP="00874A27">
      <w:pPr>
        <w:shd w:val="clear" w:color="auto" w:fill="FFFFFF"/>
        <w:spacing w:beforeAutospacing="1" w:after="0" w:afterAutospacing="1" w:line="240" w:lineRule="auto"/>
        <w:ind w:left="720"/>
        <w:jc w:val="center"/>
        <w:rPr>
          <w:rFonts w:ascii="Arial" w:eastAsia="Times New Roman" w:hAnsi="Arial" w:cs="Arial"/>
          <w:b/>
          <w:bCs/>
          <w:color w:val="000000"/>
          <w:sz w:val="23"/>
          <w:szCs w:val="23"/>
          <w:lang w:eastAsia="fr-FR"/>
        </w:rPr>
      </w:pPr>
      <w:bookmarkStart w:id="36" w:name="JORFARTI000028774909"/>
      <w:bookmarkEnd w:id="36"/>
      <w:r w:rsidRPr="00874A27">
        <w:rPr>
          <w:rFonts w:ascii="Arial" w:eastAsia="Times New Roman" w:hAnsi="Arial" w:cs="Arial"/>
          <w:b/>
          <w:bCs/>
          <w:color w:val="000000"/>
          <w:sz w:val="23"/>
          <w:szCs w:val="23"/>
          <w:lang w:eastAsia="fr-FR"/>
        </w:rPr>
        <w:t>Article 37 </w:t>
      </w:r>
      <w:hyperlink r:id="rId195" w:tooltip="En savoir plus sur l'article 3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de la construction et de l'habitation est ainsi modifié :</w:t>
      </w:r>
      <w:r w:rsidRPr="00874A27">
        <w:rPr>
          <w:rFonts w:ascii="Arial" w:eastAsia="Times New Roman" w:hAnsi="Arial" w:cs="Arial"/>
          <w:color w:val="000000"/>
          <w:sz w:val="19"/>
          <w:szCs w:val="19"/>
          <w:lang w:eastAsia="fr-FR"/>
        </w:rPr>
        <w:br/>
        <w:t>1° Au quatrième alinéa de l'article L. 302-1, au deuxième alinéa et à la première phrase du dernier alinéa de l'article L. 441-1-2 et à la seconde phrase du quatrième alinéa du II, à la première phrase du V et à la seconde phrase du dernier alinéa du VII de l'article L. 441-2-3, les mots : « pour le logement » sont remplacés par les mots : « pour le logement et l'hébergement » ;</w:t>
      </w:r>
      <w:r w:rsidRPr="00874A27">
        <w:rPr>
          <w:rFonts w:ascii="Arial" w:eastAsia="Times New Roman" w:hAnsi="Arial" w:cs="Arial"/>
          <w:color w:val="000000"/>
          <w:sz w:val="19"/>
          <w:szCs w:val="19"/>
          <w:lang w:eastAsia="fr-FR"/>
        </w:rPr>
        <w:br/>
        <w:t>2° Au troisième alinéa de l'article L. 441-1-1 et au deuxième alinéa de l'article L. 441-1-2, la référence : « au deuxième alinéa de l'article 4 » est remplacée par la référence : « à l'article 4 » ;</w:t>
      </w:r>
      <w:r w:rsidRPr="00874A27">
        <w:rPr>
          <w:rFonts w:ascii="Arial" w:eastAsia="Times New Roman" w:hAnsi="Arial" w:cs="Arial"/>
          <w:color w:val="000000"/>
          <w:sz w:val="19"/>
          <w:szCs w:val="19"/>
          <w:lang w:eastAsia="fr-FR"/>
        </w:rPr>
        <w:br/>
        <w:t>3° Au dernier alinéa du VII de l'article L. 441-2-3, la référence : « quinzième alinéa de l'article 4 » est remplacée par la référence : « cinquième alinéa de l'article 3 ».</w:t>
      </w:r>
      <w:r w:rsidRPr="00874A27">
        <w:rPr>
          <w:rFonts w:ascii="Arial" w:eastAsia="Times New Roman" w:hAnsi="Arial" w:cs="Arial"/>
          <w:color w:val="000000"/>
          <w:sz w:val="19"/>
          <w:szCs w:val="19"/>
          <w:lang w:eastAsia="fr-FR"/>
        </w:rPr>
        <w:br/>
        <w:t>II. ― A la deuxième phrase du premier alinéa du I de l'article L. 851-1 du code de la sécurité sociale et à la deuxième phrase du deuxième alinéa de l'article L. 261-5 du code de l'action sociale et des familles, la référence : « au deuxième alinéa de l'article 4 » est remplacée par la référence : « à l'article 4 ».</w:t>
      </w:r>
      <w:r w:rsidRPr="00874A27">
        <w:rPr>
          <w:rFonts w:ascii="Arial" w:eastAsia="Times New Roman" w:hAnsi="Arial" w:cs="Arial"/>
          <w:color w:val="000000"/>
          <w:sz w:val="19"/>
          <w:szCs w:val="19"/>
          <w:lang w:eastAsia="fr-FR"/>
        </w:rPr>
        <w:br/>
        <w:t>III. ― A l'article L. 124 B du livre des procédures fiscales, la référence : « par l'article 4 » est remplacée par la référence : « à l'article 3 ».</w:t>
      </w:r>
      <w:r w:rsidRPr="00874A27">
        <w:rPr>
          <w:rFonts w:ascii="Arial" w:eastAsia="Times New Roman" w:hAnsi="Arial" w:cs="Arial"/>
          <w:color w:val="000000"/>
          <w:sz w:val="19"/>
          <w:szCs w:val="19"/>
          <w:lang w:eastAsia="fr-FR"/>
        </w:rPr>
        <w:br/>
        <w:t>IV. ― Au premier alinéa du I de l'article 9 de la loi n° 2011-725 du 23 juin 2011 portant dispositions particulières relatives aux quartiers d'habitat informel et à la lutte contre l'habitat indigne dans les départements et régions d'outre-mer, la référence : « au deuxième alinéa du g de l'article 4 » est remplacée par la référence : « à l'article 1er-1 ».</w:t>
      </w:r>
    </w:p>
    <w:p w:rsidR="00874A27" w:rsidRPr="00874A27" w:rsidRDefault="00874A27" w:rsidP="00874A27">
      <w:pPr>
        <w:shd w:val="clear" w:color="auto" w:fill="FFFFFF"/>
        <w:spacing w:beforeAutospacing="1" w:after="0" w:afterAutospacing="1" w:line="240" w:lineRule="auto"/>
        <w:ind w:left="720"/>
        <w:jc w:val="center"/>
        <w:rPr>
          <w:rFonts w:ascii="Arial" w:eastAsia="Times New Roman" w:hAnsi="Arial" w:cs="Arial"/>
          <w:b/>
          <w:bCs/>
          <w:color w:val="000000"/>
          <w:sz w:val="23"/>
          <w:szCs w:val="23"/>
          <w:lang w:eastAsia="fr-FR"/>
        </w:rPr>
      </w:pPr>
      <w:bookmarkStart w:id="37" w:name="JORFARTI000028774923"/>
      <w:bookmarkEnd w:id="37"/>
      <w:r w:rsidRPr="00874A27">
        <w:rPr>
          <w:rFonts w:ascii="Arial" w:eastAsia="Times New Roman" w:hAnsi="Arial" w:cs="Arial"/>
          <w:b/>
          <w:bCs/>
          <w:color w:val="000000"/>
          <w:sz w:val="23"/>
          <w:szCs w:val="23"/>
          <w:lang w:eastAsia="fr-FR"/>
        </w:rPr>
        <w:t>Article 38 </w:t>
      </w:r>
      <w:hyperlink r:id="rId196" w:tooltip="En savoir plus sur l'article 3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121-4 du code de l'action sociale et des familles est complété par un alinéa ainsi rédigé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Dans le cas de l'hébergement de publics relevant de l'aide sociale à l'enfance et lorsque le règlement départemental d'aide sociale prévoit une participation de ces publics au coût de l'hébergement, la créance à l'égard de ces publics peut être remise ou réduite par le président du conseil général en cas de précarité de la situation du débiteur, sauf si cette créance résulte d'une manœuvre frauduleuse. »</w:t>
      </w:r>
    </w:p>
    <w:p w:rsidR="00874A27" w:rsidRPr="00874A27" w:rsidRDefault="00874A27" w:rsidP="00874A27">
      <w:pPr>
        <w:shd w:val="clear" w:color="auto" w:fill="FFFFFF"/>
        <w:spacing w:beforeAutospacing="1" w:after="0" w:afterAutospacing="1" w:line="240" w:lineRule="auto"/>
        <w:ind w:left="720"/>
        <w:jc w:val="center"/>
        <w:rPr>
          <w:rFonts w:ascii="Arial" w:eastAsia="Times New Roman" w:hAnsi="Arial" w:cs="Arial"/>
          <w:b/>
          <w:bCs/>
          <w:color w:val="000000"/>
          <w:sz w:val="23"/>
          <w:szCs w:val="23"/>
          <w:lang w:eastAsia="fr-FR"/>
        </w:rPr>
      </w:pPr>
      <w:bookmarkStart w:id="38" w:name="JORFARTI000028774926"/>
      <w:bookmarkEnd w:id="38"/>
      <w:r w:rsidRPr="00874A27">
        <w:rPr>
          <w:rFonts w:ascii="Arial" w:eastAsia="Times New Roman" w:hAnsi="Arial" w:cs="Arial"/>
          <w:b/>
          <w:bCs/>
          <w:color w:val="000000"/>
          <w:sz w:val="23"/>
          <w:szCs w:val="23"/>
          <w:lang w:eastAsia="fr-FR"/>
        </w:rPr>
        <w:t>Article 39 </w:t>
      </w:r>
      <w:hyperlink r:id="rId197" w:tooltip="En savoir plus sur l'article 3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première phrase du premier alinéa du III de l'article L. 1611-7 du code général des collectivités territoriales est complétée par les mots : « ainsi que le recouvrement des recettes et le paiement des dépenses relatives à l'hébergement des publics dans le cadre de l'aide sociale à l'enfance ».</w:t>
      </w:r>
    </w:p>
    <w:p w:rsidR="00874A27" w:rsidRPr="00874A27" w:rsidRDefault="00874A27" w:rsidP="00874A27">
      <w:pPr>
        <w:numPr>
          <w:ilvl w:val="3"/>
          <w:numId w:val="1"/>
        </w:numPr>
        <w:shd w:val="clear" w:color="auto" w:fill="FFFFFF"/>
        <w:spacing w:before="100" w:beforeAutospacing="1" w:after="100" w:afterAutospacing="1" w:line="240" w:lineRule="auto"/>
        <w:ind w:left="72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Sous-section 3 : Développer la participation des personnes accueillies ou accompagnées</w:t>
      </w:r>
    </w:p>
    <w:p w:rsidR="00874A27" w:rsidRPr="00874A27" w:rsidRDefault="00874A27" w:rsidP="00874A27">
      <w:pPr>
        <w:shd w:val="clear" w:color="auto" w:fill="FFFFFF"/>
        <w:spacing w:before="100" w:beforeAutospacing="1" w:after="100" w:afterAutospacing="1" w:line="240" w:lineRule="auto"/>
        <w:ind w:left="720"/>
        <w:jc w:val="center"/>
        <w:rPr>
          <w:rFonts w:ascii="Arial" w:eastAsia="Times New Roman" w:hAnsi="Arial" w:cs="Arial"/>
          <w:b/>
          <w:bCs/>
          <w:color w:val="000000"/>
          <w:sz w:val="23"/>
          <w:szCs w:val="23"/>
          <w:lang w:eastAsia="fr-FR"/>
        </w:rPr>
      </w:pPr>
      <w:bookmarkStart w:id="39" w:name="JORFARTI000028774929"/>
      <w:bookmarkEnd w:id="39"/>
      <w:r w:rsidRPr="00874A27">
        <w:rPr>
          <w:rFonts w:ascii="Arial" w:eastAsia="Times New Roman" w:hAnsi="Arial" w:cs="Arial"/>
          <w:b/>
          <w:bCs/>
          <w:color w:val="000000"/>
          <w:sz w:val="23"/>
          <w:szCs w:val="23"/>
          <w:lang w:eastAsia="fr-FR"/>
        </w:rPr>
        <w:t>Article 40 </w:t>
      </w:r>
      <w:hyperlink r:id="rId198" w:tooltip="En savoir plus sur l'article 4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72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l'action sociale et des familles est ainsi modifié :</w:t>
      </w:r>
      <w:r w:rsidRPr="00874A27">
        <w:rPr>
          <w:rFonts w:ascii="Arial" w:eastAsia="Times New Roman" w:hAnsi="Arial" w:cs="Arial"/>
          <w:color w:val="000000"/>
          <w:sz w:val="19"/>
          <w:szCs w:val="19"/>
          <w:lang w:eastAsia="fr-FR"/>
        </w:rPr>
        <w:br/>
        <w:t>1° Après l'article L. 115-2, il est inséré un article L. 115-2-1 ainsi rédigé :</w:t>
      </w:r>
      <w:r w:rsidRPr="00874A27">
        <w:rPr>
          <w:rFonts w:ascii="Arial" w:eastAsia="Times New Roman" w:hAnsi="Arial" w:cs="Arial"/>
          <w:color w:val="000000"/>
          <w:sz w:val="19"/>
          <w:szCs w:val="19"/>
          <w:lang w:eastAsia="fr-FR"/>
        </w:rPr>
        <w:br/>
        <w:t>« Art. L. 115-2-1.-La définition, le suivi et l'évaluation du dispositif d'accueil, d'hébergement et d'accompagnement vers l'insertion et le logement des personnes sans domicile sont réalisés selon des modalités qui assurent une participation des personnes prises en charge par le dispositif ou l'ayant été.</w:t>
      </w:r>
      <w:r w:rsidRPr="00874A27">
        <w:rPr>
          <w:rFonts w:ascii="Arial" w:eastAsia="Times New Roman" w:hAnsi="Arial" w:cs="Arial"/>
          <w:color w:val="000000"/>
          <w:sz w:val="19"/>
          <w:szCs w:val="19"/>
          <w:lang w:eastAsia="fr-FR"/>
        </w:rPr>
        <w:br/>
        <w:t>« Les instances de concertation permettant d'assurer cette participation ainsi que leurs modalités d'organisation sont précisées par décret. » ;</w:t>
      </w:r>
      <w:r w:rsidRPr="00874A27">
        <w:rPr>
          <w:rFonts w:ascii="Arial" w:eastAsia="Times New Roman" w:hAnsi="Arial" w:cs="Arial"/>
          <w:color w:val="000000"/>
          <w:sz w:val="19"/>
          <w:szCs w:val="19"/>
          <w:lang w:eastAsia="fr-FR"/>
        </w:rPr>
        <w:br/>
        <w:t>2° L'article L. 311-6 est ainsi modifié :</w:t>
      </w:r>
      <w:r w:rsidRPr="00874A27">
        <w:rPr>
          <w:rFonts w:ascii="Arial" w:eastAsia="Times New Roman" w:hAnsi="Arial" w:cs="Arial"/>
          <w:color w:val="000000"/>
          <w:sz w:val="19"/>
          <w:szCs w:val="19"/>
          <w:lang w:eastAsia="fr-FR"/>
        </w:rPr>
        <w:br/>
        <w:t>a) Après le premier alinéa, il est inséré un alinéa ainsi rédigé :</w:t>
      </w:r>
      <w:r w:rsidRPr="00874A27">
        <w:rPr>
          <w:rFonts w:ascii="Arial" w:eastAsia="Times New Roman" w:hAnsi="Arial" w:cs="Arial"/>
          <w:color w:val="000000"/>
          <w:sz w:val="19"/>
          <w:szCs w:val="19"/>
          <w:lang w:eastAsia="fr-FR"/>
        </w:rPr>
        <w:br/>
        <w:t>« Le présent article s'applique également aux établissements et services assurant l'accueil, l'évaluation, le soutien, l'hébergement et l'accompagnement des personnes ou familles mentionnées au premier alinéa de l'article L. 345-2-4 et ne relevant pas du régime du 8° du I de l'article L. 312-1. » ;</w:t>
      </w:r>
      <w:r w:rsidRPr="00874A27">
        <w:rPr>
          <w:rFonts w:ascii="Arial" w:eastAsia="Times New Roman" w:hAnsi="Arial" w:cs="Arial"/>
          <w:color w:val="000000"/>
          <w:sz w:val="19"/>
          <w:szCs w:val="19"/>
          <w:lang w:eastAsia="fr-FR"/>
        </w:rPr>
        <w:br/>
        <w:t>b) Au début du second alinéa, le mot : « Ce » est remplacé par le mot : « Le ».</w:t>
      </w:r>
    </w:p>
    <w:p w:rsidR="00874A27" w:rsidRPr="00874A27" w:rsidRDefault="00874A27" w:rsidP="00874A27">
      <w:pPr>
        <w:numPr>
          <w:ilvl w:val="2"/>
          <w:numId w:val="1"/>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2 : Améliorer les dispositifs relatifs au droit au logement opposable</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40" w:name="JORFARTI000028773393"/>
      <w:bookmarkEnd w:id="40"/>
      <w:r w:rsidRPr="00874A27">
        <w:rPr>
          <w:rFonts w:ascii="Arial" w:eastAsia="Times New Roman" w:hAnsi="Arial" w:cs="Arial"/>
          <w:b/>
          <w:bCs/>
          <w:color w:val="000000"/>
          <w:sz w:val="23"/>
          <w:szCs w:val="23"/>
          <w:lang w:eastAsia="fr-FR"/>
        </w:rPr>
        <w:t>Article 41 </w:t>
      </w:r>
      <w:hyperlink r:id="rId199" w:tooltip="En savoir plus sur l'article 4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de la construction et de l'habitation est ainsi modifié :</w:t>
      </w:r>
      <w:r w:rsidRPr="00874A27">
        <w:rPr>
          <w:rFonts w:ascii="Arial" w:eastAsia="Times New Roman" w:hAnsi="Arial" w:cs="Arial"/>
          <w:color w:val="000000"/>
          <w:sz w:val="19"/>
          <w:szCs w:val="19"/>
          <w:lang w:eastAsia="fr-FR"/>
        </w:rPr>
        <w:br/>
        <w:t>1° Le II de l'article L. 441-2-3 est ainsi modifié :</w:t>
      </w:r>
      <w:r w:rsidRPr="00874A27">
        <w:rPr>
          <w:rFonts w:ascii="Arial" w:eastAsia="Times New Roman" w:hAnsi="Arial" w:cs="Arial"/>
          <w:color w:val="000000"/>
          <w:sz w:val="19"/>
          <w:szCs w:val="19"/>
          <w:lang w:eastAsia="fr-FR"/>
        </w:rPr>
        <w:br/>
        <w:t>a) Après la deuxième phrase du cinquième alinéa, est insérée une phrase ainsi rédigée :</w:t>
      </w:r>
      <w:r w:rsidRPr="00874A27">
        <w:rPr>
          <w:rFonts w:ascii="Arial" w:eastAsia="Times New Roman" w:hAnsi="Arial" w:cs="Arial"/>
          <w:color w:val="000000"/>
          <w:sz w:val="19"/>
          <w:szCs w:val="19"/>
          <w:lang w:eastAsia="fr-FR"/>
        </w:rPr>
        <w:br/>
        <w:t>« Elle peut préconiser que soit proposé au demandeur un logement appartenant aux organismes définis à l'article L. 411-2 loué à une personne morale aux fins d'être sous-loué à titre transitoire dans les conditions prévues au deuxième alinéa de l'article L. 442-8-3. » ;</w:t>
      </w:r>
      <w:r w:rsidRPr="00874A27">
        <w:rPr>
          <w:rFonts w:ascii="Arial" w:eastAsia="Times New Roman" w:hAnsi="Arial" w:cs="Arial"/>
          <w:color w:val="000000"/>
          <w:sz w:val="19"/>
          <w:szCs w:val="19"/>
          <w:lang w:eastAsia="fr-FR"/>
        </w:rPr>
        <w:br/>
        <w:t>b) Le sixième alinéa est complété par une phrase ainsi rédigée :</w:t>
      </w:r>
      <w:r w:rsidRPr="00874A27">
        <w:rPr>
          <w:rFonts w:ascii="Arial" w:eastAsia="Times New Roman" w:hAnsi="Arial" w:cs="Arial"/>
          <w:color w:val="000000"/>
          <w:sz w:val="19"/>
          <w:szCs w:val="19"/>
          <w:lang w:eastAsia="fr-FR"/>
        </w:rPr>
        <w:br/>
        <w:t>« Les personnes figurant sur cette liste auxquelles un logement est attribué sont comptabilisées au titre de l'exécution des engagements souscrits par les bailleurs et par les titulaires de droits de réservation dans le cadre des accords collectifs définis aux articles L. 441-1-1 et L. 441-1-2. » ;</w:t>
      </w:r>
      <w:r w:rsidRPr="00874A27">
        <w:rPr>
          <w:rFonts w:ascii="Arial" w:eastAsia="Times New Roman" w:hAnsi="Arial" w:cs="Arial"/>
          <w:color w:val="000000"/>
          <w:sz w:val="19"/>
          <w:szCs w:val="19"/>
          <w:lang w:eastAsia="fr-FR"/>
        </w:rPr>
        <w:br/>
        <w:t>c) Le septième alinéa est ainsi modifié :</w:t>
      </w:r>
      <w:r w:rsidRPr="00874A27">
        <w:rPr>
          <w:rFonts w:ascii="Arial" w:eastAsia="Times New Roman" w:hAnsi="Arial" w:cs="Arial"/>
          <w:color w:val="000000"/>
          <w:sz w:val="19"/>
          <w:szCs w:val="19"/>
          <w:lang w:eastAsia="fr-FR"/>
        </w:rPr>
        <w:br/>
        <w:t>― après la première phrase, est insérée une phrase ainsi rédigée :</w:t>
      </w:r>
      <w:r w:rsidRPr="00874A27">
        <w:rPr>
          <w:rFonts w:ascii="Arial" w:eastAsia="Times New Roman" w:hAnsi="Arial" w:cs="Arial"/>
          <w:color w:val="000000"/>
          <w:sz w:val="19"/>
          <w:szCs w:val="19"/>
          <w:lang w:eastAsia="fr-FR"/>
        </w:rPr>
        <w:br/>
        <w:t>« Le représentant de l'Etat dans le département tient compte, dans des conditions fixées par décret, de la situation des quartiers prioritaires de la politique de la ville pour la définition de ce périmètre.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Dans les communes faisant l'objet d'un arrêté de carence pris en application de l'article L. 302-9-1, cette attribution s'impute en priorité sur les droits à réservation de la commune, dans les conditions prévues au même article.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d) La première phrase du huitième alinéa est ainsi modifiée :</w:t>
      </w:r>
      <w:r w:rsidRPr="00874A27">
        <w:rPr>
          <w:rFonts w:ascii="Arial" w:eastAsia="Times New Roman" w:hAnsi="Arial" w:cs="Arial"/>
          <w:color w:val="000000"/>
          <w:sz w:val="19"/>
          <w:szCs w:val="19"/>
          <w:lang w:eastAsia="fr-FR"/>
        </w:rPr>
        <w:br/>
        <w:t>― après le mot : « également », sont insérés les mots : «, par décision motivée » ;</w:t>
      </w:r>
      <w:r w:rsidRPr="00874A27">
        <w:rPr>
          <w:rFonts w:ascii="Arial" w:eastAsia="Times New Roman" w:hAnsi="Arial" w:cs="Arial"/>
          <w:color w:val="000000"/>
          <w:sz w:val="19"/>
          <w:szCs w:val="19"/>
          <w:lang w:eastAsia="fr-FR"/>
        </w:rPr>
        <w:br/>
        <w:t>― sont ajoutés les mots : «, ou un logement appartenant aux organismes définis à l'article L. 411-2 loué à une personne morale aux fins d'être sous-loué à titre transitoire dans les conditions prévues au deuxième alinéa de l'article L. 442-8-3 » ;</w:t>
      </w:r>
      <w:r w:rsidRPr="00874A27">
        <w:rPr>
          <w:rFonts w:ascii="Arial" w:eastAsia="Times New Roman" w:hAnsi="Arial" w:cs="Arial"/>
          <w:color w:val="000000"/>
          <w:sz w:val="19"/>
          <w:szCs w:val="19"/>
          <w:lang w:eastAsia="fr-FR"/>
        </w:rPr>
        <w:br/>
        <w:t>e) Le dixième alinéa est complété par une phrase ainsi rédigée :</w:t>
      </w:r>
      <w:r w:rsidRPr="00874A27">
        <w:rPr>
          <w:rFonts w:ascii="Arial" w:eastAsia="Times New Roman" w:hAnsi="Arial" w:cs="Arial"/>
          <w:color w:val="000000"/>
          <w:sz w:val="19"/>
          <w:szCs w:val="19"/>
          <w:lang w:eastAsia="fr-FR"/>
        </w:rPr>
        <w:br/>
        <w:t>« En cas de refus de l'organisme de signer un bail à son nom avec un sous-locataire occupant le logement dans les conditions prévues au deuxième alinéa de l'article L. 442-8-3 au terme de la période transitoire, le représentant de l'Etat dans le département, après avoir recueilli les observations du bailleur, peut procéder à l'attribution du logement à l'occupant, qui devient locataire en titre en lieu et place de la personne morale locataire. » ;</w:t>
      </w:r>
      <w:r w:rsidRPr="00874A27">
        <w:rPr>
          <w:rFonts w:ascii="Arial" w:eastAsia="Times New Roman" w:hAnsi="Arial" w:cs="Arial"/>
          <w:color w:val="000000"/>
          <w:sz w:val="19"/>
          <w:szCs w:val="19"/>
          <w:lang w:eastAsia="fr-FR"/>
        </w:rPr>
        <w:br/>
        <w:t>2° L'article L. 441-2-3 est complété par un VIII ainsi rédigé :</w:t>
      </w:r>
      <w:r w:rsidRPr="00874A27">
        <w:rPr>
          <w:rFonts w:ascii="Arial" w:eastAsia="Times New Roman" w:hAnsi="Arial" w:cs="Arial"/>
          <w:color w:val="000000"/>
          <w:sz w:val="19"/>
          <w:szCs w:val="19"/>
          <w:lang w:eastAsia="fr-FR"/>
        </w:rPr>
        <w:br/>
        <w:t>« VIII. ― Lorsque la commission de médiation reconnaît un demandeur prioritaire auquel un logement doit être attribué en urgence et que celui-ci fait l'objet d'une décision de justice prononçant l'expulsion de son domicile, elle peut saisir le juge afin que celui-ci accorde des délais dans les conditions prévues aux articles L. 412-3 et L. 412-4 du code des procédures civiles d'exécution. » ;</w:t>
      </w:r>
      <w:r w:rsidRPr="00874A27">
        <w:rPr>
          <w:rFonts w:ascii="Arial" w:eastAsia="Times New Roman" w:hAnsi="Arial" w:cs="Arial"/>
          <w:color w:val="000000"/>
          <w:sz w:val="19"/>
          <w:szCs w:val="19"/>
          <w:lang w:eastAsia="fr-FR"/>
        </w:rPr>
        <w:br/>
        <w:t>3° Le quatrième alinéa de l'article L. 442-8-2 est complété par une phrase ainsi rédigée :</w:t>
      </w:r>
      <w:r w:rsidRPr="00874A27">
        <w:rPr>
          <w:rFonts w:ascii="Arial" w:eastAsia="Times New Roman" w:hAnsi="Arial" w:cs="Arial"/>
          <w:color w:val="000000"/>
          <w:sz w:val="19"/>
          <w:szCs w:val="19"/>
          <w:lang w:eastAsia="fr-FR"/>
        </w:rPr>
        <w:br/>
        <w:t>« L'offre de logement définitif peut consister en l'attribution du logement occupé au sous-locataire aux fins de signature d'un bail à son nom. » ;</w:t>
      </w:r>
      <w:r w:rsidRPr="00874A27">
        <w:rPr>
          <w:rFonts w:ascii="Arial" w:eastAsia="Times New Roman" w:hAnsi="Arial" w:cs="Arial"/>
          <w:color w:val="000000"/>
          <w:sz w:val="19"/>
          <w:szCs w:val="19"/>
          <w:lang w:eastAsia="fr-FR"/>
        </w:rPr>
        <w:br/>
        <w:t>4° L'article L. 442-8-3 est ainsi rédigé :</w:t>
      </w:r>
      <w:r w:rsidRPr="00874A27">
        <w:rPr>
          <w:rFonts w:ascii="Arial" w:eastAsia="Times New Roman" w:hAnsi="Arial" w:cs="Arial"/>
          <w:color w:val="000000"/>
          <w:sz w:val="19"/>
          <w:szCs w:val="19"/>
          <w:lang w:eastAsia="fr-FR"/>
        </w:rPr>
        <w:br/>
        <w:t>« Art. L. 442-8-3.-Lorsque des logements appartenant à l'un des organismes définis à l'article L. 411-2 sont loués à une personne morale aux fins d'être sous-loués à titre transitoire aux personnes reconnues prioritaires et auxquelles un logement doit être attribué en urgence en application de l'article L. 441-2-3 ou aux personnes mentionnées au II de l'article L. 301-1, une convention annexée au contrat de sous-location est conclue entre l'organisme défini à l'article L. 411-2, la personne morale locataire et le sous-locataire.</w:t>
      </w:r>
      <w:r w:rsidRPr="00874A27">
        <w:rPr>
          <w:rFonts w:ascii="Arial" w:eastAsia="Times New Roman" w:hAnsi="Arial" w:cs="Arial"/>
          <w:color w:val="000000"/>
          <w:sz w:val="19"/>
          <w:szCs w:val="19"/>
          <w:lang w:eastAsia="fr-FR"/>
        </w:rPr>
        <w:br/>
        <w:t>« Cette convention règle les conditions dans lesquelles le sous-locataire peut conclure un bail avec l'organisme défini à l'article L. 411-2, dans le respect des obligations locatives définies à l'</w:t>
      </w:r>
      <w:hyperlink r:id="rId200" w:history="1">
        <w:r w:rsidRPr="00874A27">
          <w:rPr>
            <w:rFonts w:ascii="Arial" w:eastAsia="Times New Roman" w:hAnsi="Arial" w:cs="Arial"/>
            <w:color w:val="336699"/>
            <w:sz w:val="19"/>
            <w:szCs w:val="19"/>
            <w:u w:val="single"/>
            <w:lang w:eastAsia="fr-FR"/>
          </w:rPr>
          <w:t>article 7 de la loi n° 89-462 du 6 juillet 1989 </w:t>
        </w:r>
      </w:hyperlink>
      <w:r w:rsidRPr="00874A27">
        <w:rPr>
          <w:rFonts w:ascii="Arial" w:eastAsia="Times New Roman" w:hAnsi="Arial" w:cs="Arial"/>
          <w:color w:val="000000"/>
          <w:sz w:val="19"/>
          <w:szCs w:val="19"/>
          <w:lang w:eastAsia="fr-FR"/>
        </w:rPr>
        <w:t>tendant à améliorer les rapports locatifs et portant modification de la </w:t>
      </w:r>
      <w:hyperlink r:id="rId201" w:history="1">
        <w:r w:rsidRPr="00874A27">
          <w:rPr>
            <w:rFonts w:ascii="Arial" w:eastAsia="Times New Roman" w:hAnsi="Arial" w:cs="Arial"/>
            <w:color w:val="336699"/>
            <w:sz w:val="19"/>
            <w:szCs w:val="19"/>
            <w:u w:val="single"/>
            <w:lang w:eastAsia="fr-FR"/>
          </w:rPr>
          <w:t>loi n° 86-1290 du 23 décembre 1986 </w:t>
        </w:r>
      </w:hyperlink>
      <w:r w:rsidRPr="00874A27">
        <w:rPr>
          <w:rFonts w:ascii="Arial" w:eastAsia="Times New Roman" w:hAnsi="Arial" w:cs="Arial"/>
          <w:color w:val="000000"/>
          <w:sz w:val="19"/>
          <w:szCs w:val="19"/>
          <w:lang w:eastAsia="fr-FR"/>
        </w:rPr>
        <w:t>et des dispositions de l'article R. 441-1 du présent code.</w:t>
      </w:r>
      <w:r w:rsidRPr="00874A27">
        <w:rPr>
          <w:rFonts w:ascii="Arial" w:eastAsia="Times New Roman" w:hAnsi="Arial" w:cs="Arial"/>
          <w:color w:val="000000"/>
          <w:sz w:val="19"/>
          <w:szCs w:val="19"/>
          <w:lang w:eastAsia="fr-FR"/>
        </w:rPr>
        <w:br/>
        <w:t>« Elle prévoit également l'organisation d'un examen périodique contradictoire de la situation du sous-locataire afin d'évaluer sa capacité à assumer les obligations résultant d'un bail à son nom, selon des modalités déterminées par décret. Deux mois avant l'échéance de cette période d'examen, dont la durée est fixée par la convention, l'organisme défini à l'article L. 411-2 indique au représentant de l'Etat dans le département où est situé le logement s'il propose un bail au sous-locataire et, dans la négative, les motifs de cette décision. »</w:t>
      </w:r>
      <w:r w:rsidRPr="00874A27">
        <w:rPr>
          <w:rFonts w:ascii="Arial" w:eastAsia="Times New Roman" w:hAnsi="Arial" w:cs="Arial"/>
          <w:color w:val="000000"/>
          <w:sz w:val="19"/>
          <w:szCs w:val="19"/>
          <w:lang w:eastAsia="fr-FR"/>
        </w:rPr>
        <w:br/>
        <w:t>II. ― Le b du 1° du I du présent article s'applique à compter de l'entrée en vigueur de l'avenant à l'accord collectif prévu aux articles </w:t>
      </w:r>
      <w:hyperlink r:id="rId202" w:history="1">
        <w:r w:rsidRPr="00874A27">
          <w:rPr>
            <w:rFonts w:ascii="Arial" w:eastAsia="Times New Roman" w:hAnsi="Arial" w:cs="Arial"/>
            <w:color w:val="336699"/>
            <w:sz w:val="19"/>
            <w:szCs w:val="19"/>
            <w:u w:val="single"/>
            <w:lang w:eastAsia="fr-FR"/>
          </w:rPr>
          <w:t>L. 441-1-1 </w:t>
        </w:r>
      </w:hyperlink>
      <w:r w:rsidRPr="00874A27">
        <w:rPr>
          <w:rFonts w:ascii="Arial" w:eastAsia="Times New Roman" w:hAnsi="Arial" w:cs="Arial"/>
          <w:color w:val="000000"/>
          <w:sz w:val="19"/>
          <w:szCs w:val="19"/>
          <w:lang w:eastAsia="fr-FR"/>
        </w:rPr>
        <w:t>ou </w:t>
      </w:r>
      <w:hyperlink r:id="rId203" w:history="1">
        <w:r w:rsidRPr="00874A27">
          <w:rPr>
            <w:rFonts w:ascii="Arial" w:eastAsia="Times New Roman" w:hAnsi="Arial" w:cs="Arial"/>
            <w:color w:val="336699"/>
            <w:sz w:val="19"/>
            <w:szCs w:val="19"/>
            <w:u w:val="single"/>
            <w:lang w:eastAsia="fr-FR"/>
          </w:rPr>
          <w:t>L. 441-1-2 </w:t>
        </w:r>
      </w:hyperlink>
      <w:r w:rsidRPr="00874A27">
        <w:rPr>
          <w:rFonts w:ascii="Arial" w:eastAsia="Times New Roman" w:hAnsi="Arial" w:cs="Arial"/>
          <w:color w:val="000000"/>
          <w:sz w:val="19"/>
          <w:szCs w:val="19"/>
          <w:lang w:eastAsia="fr-FR"/>
        </w:rPr>
        <w:t>du code de la construction et de l'habitation ou de son renouvellement comportant la modification des engagements annuels quantifiés destinée à prendre en compte les personnes ou familles mentionnées au </w:t>
      </w:r>
      <w:hyperlink r:id="rId204" w:history="1">
        <w:r w:rsidRPr="00874A27">
          <w:rPr>
            <w:rFonts w:ascii="Arial" w:eastAsia="Times New Roman" w:hAnsi="Arial" w:cs="Arial"/>
            <w:color w:val="336699"/>
            <w:sz w:val="19"/>
            <w:szCs w:val="19"/>
            <w:u w:val="single"/>
            <w:lang w:eastAsia="fr-FR"/>
          </w:rPr>
          <w:t>III de l'article 4 de la loi n° 90-449 du 31 mai 1990 </w:t>
        </w:r>
      </w:hyperlink>
      <w:r w:rsidRPr="00874A27">
        <w:rPr>
          <w:rFonts w:ascii="Arial" w:eastAsia="Times New Roman" w:hAnsi="Arial" w:cs="Arial"/>
          <w:color w:val="000000"/>
          <w:sz w:val="19"/>
          <w:szCs w:val="19"/>
          <w:lang w:eastAsia="fr-FR"/>
        </w:rPr>
        <w:t>visant à la mise en œuvre du droit au logement.</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41" w:name="JORFARTI000028773414"/>
      <w:bookmarkEnd w:id="41"/>
      <w:r w:rsidRPr="00874A27">
        <w:rPr>
          <w:rFonts w:ascii="Arial" w:eastAsia="Times New Roman" w:hAnsi="Arial" w:cs="Arial"/>
          <w:b/>
          <w:bCs/>
          <w:color w:val="000000"/>
          <w:sz w:val="23"/>
          <w:szCs w:val="23"/>
          <w:lang w:eastAsia="fr-FR"/>
        </w:rPr>
        <w:t>Article 42 </w:t>
      </w:r>
      <w:hyperlink r:id="rId205" w:tooltip="En savoir plus sur l'article 4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III de l'article L. 441-2-3 du code de la construction et de l'habitation est ainsi rédigé :</w:t>
      </w:r>
      <w:r w:rsidRPr="00874A27">
        <w:rPr>
          <w:rFonts w:ascii="Arial" w:eastAsia="Times New Roman" w:hAnsi="Arial" w:cs="Arial"/>
          <w:color w:val="000000"/>
          <w:sz w:val="19"/>
          <w:szCs w:val="19"/>
          <w:lang w:eastAsia="fr-FR"/>
        </w:rPr>
        <w:br/>
        <w:t>« III. ― La commission de médiation peut également être saisie, sans condition de délai, par toute personne qui, sollicitant l'accueil dans une structure d'hébergement, un logement de transition, un logement-foyer ou une résidence hôtelière à vocation sociale, n'a reçu aucune proposition adaptée en réponse à sa demande. Si le demandeur ne justifie pas du respect des conditions de régularité et de permanence du séjour mentionnées au premier alinéa de l'article L. 300-1, la commission peut prendre une décision favorable uniquement si elle préconise l'accueil dans une structure d'hébergement. La commission de médiation transmet au représentant de l'Etat dans le département la liste des demandeurs pour lesquels doit être prévu un tel accueil dans une structure d'hébergement, un logement de transition, un logement-foyer ou une résidence hôtelière à vocation sociale et précise, le cas échéant, les mesures de diagnostic ou d'accompagnement social nécessaires.</w:t>
      </w:r>
      <w:r w:rsidRPr="00874A27">
        <w:rPr>
          <w:rFonts w:ascii="Arial" w:eastAsia="Times New Roman" w:hAnsi="Arial" w:cs="Arial"/>
          <w:color w:val="000000"/>
          <w:sz w:val="19"/>
          <w:szCs w:val="19"/>
          <w:lang w:eastAsia="fr-FR"/>
        </w:rPr>
        <w:br/>
        <w:t xml:space="preserve">« Le représentant de l'Etat dans le département désigne chaque demandeur au service intégré d'accueil et d'orientation prévu à l'article L. 345-2-4 du code de l'action sociale et des familles aux fins de l'orienter vers un organisme disposant de places d'hébergement présentant un caractère de stabilité, de logements de transition ou de logements dans un logement-foyer ou une résidence hôtelière à vocation sociale correspondant à ses besoins et qui sera chargé de l'accueillir dans le délai fixé par le représentant de l'Etat. L'organisme donne suite à la proposition d'orientation, dans </w:t>
      </w:r>
      <w:r w:rsidRPr="00874A27">
        <w:rPr>
          <w:rFonts w:ascii="Arial" w:eastAsia="Times New Roman" w:hAnsi="Arial" w:cs="Arial"/>
          <w:color w:val="000000"/>
          <w:sz w:val="19"/>
          <w:szCs w:val="19"/>
          <w:lang w:eastAsia="fr-FR"/>
        </w:rPr>
        <w:lastRenderedPageBreak/>
        <w:t>les conditions prévues aux articles L. 345-2-7 et L. 345-2-8 du même code. En cas d'absence d'accueil dans le délai fixé, le représentant de l'Etat dans le département désigne le demandeur à un tel organisme aux fins de l'héberger ou de le loger. Au cas où l'organisme vers lequel le demandeur a été orienté ou à qui il a été désigné refuse de l'héberger ou de le loger, le représentant de l'Etat dans le département procède à l'attribution d'une place d'hébergement présentant un caractère de stabilité ou d'un logement de transition ou d'un logement dans un logement-foyer ou une résidence hôtelière à vocation sociale correspondant à ses besoins. Le cas échéant, cette attribution s'impute sur les droits à réservation du représentant de l'Etat. En Ile-de-France, il peut aussi demander au représentant de l'Etat d'un autre département d'effectuer une telle proposition ; en cas de désaccord, la proposition est faite par le représentant de l'Etat dans la région.</w:t>
      </w:r>
      <w:r w:rsidRPr="00874A27">
        <w:rPr>
          <w:rFonts w:ascii="Arial" w:eastAsia="Times New Roman" w:hAnsi="Arial" w:cs="Arial"/>
          <w:color w:val="000000"/>
          <w:sz w:val="19"/>
          <w:szCs w:val="19"/>
          <w:lang w:eastAsia="fr-FR"/>
        </w:rPr>
        <w:br/>
        <w:t>« Les personnes auxquelles une proposition d'accueil dans une structure d'hébergement, un logement de transition, un logement-foyer ou une résidence hôtelière à vocation sociale a été adressée reçoivent du représentant de l'Etat dans le département une information écrite relative aux dispositifs et structures d'accompagnement social présents dans le département dans lequel l'hébergement, le logement de transition, le logement-foyer ou la résidence hôtelière à vocation sociale est situé et, le cas échéant, susceptibles d'effectuer le diagnostic ou l'accompagnement social préconisé par la commission de médiation.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42" w:name="JORFARTI000028773417"/>
      <w:bookmarkEnd w:id="42"/>
      <w:r w:rsidRPr="00874A27">
        <w:rPr>
          <w:rFonts w:ascii="Arial" w:eastAsia="Times New Roman" w:hAnsi="Arial" w:cs="Arial"/>
          <w:b/>
          <w:bCs/>
          <w:color w:val="000000"/>
          <w:sz w:val="23"/>
          <w:szCs w:val="23"/>
          <w:lang w:eastAsia="fr-FR"/>
        </w:rPr>
        <w:t>Article 43 </w:t>
      </w:r>
      <w:hyperlink r:id="rId206" w:tooltip="En savoir plus sur l'article 4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IV du même article L. 441-2-3est complété par un alinéa ainsi rédigé :</w:t>
      </w:r>
      <w:r w:rsidRPr="00874A27">
        <w:rPr>
          <w:rFonts w:ascii="Arial" w:eastAsia="Times New Roman" w:hAnsi="Arial" w:cs="Arial"/>
          <w:color w:val="000000"/>
          <w:sz w:val="19"/>
          <w:szCs w:val="19"/>
          <w:lang w:eastAsia="fr-FR"/>
        </w:rPr>
        <w:br/>
        <w:t>« Lorsque la commission de médiation, saisie d'une demande d'hébergement ou de logement dans un établissement ou un logement de transition, un logement-foyer ou une résidence hôtelière à vocation sociale dans les conditions prévues au III, estime qu'un tel accueil n'est pas adapté et qu'une offre de logement doit être faite, elle peut, si le demandeur remplit les conditions fixées aux deux premiers alinéas du II, le désigner comme prioritaire pour l'attribution d'un logement en urgence et transmettre au représentant de l'Etat dans le département cette demande aux fins de logement, dans le délai fixé au cinquième alinéa du II.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43" w:name="JORFARTI000028773420"/>
      <w:bookmarkEnd w:id="43"/>
      <w:r w:rsidRPr="00874A27">
        <w:rPr>
          <w:rFonts w:ascii="Arial" w:eastAsia="Times New Roman" w:hAnsi="Arial" w:cs="Arial"/>
          <w:b/>
          <w:bCs/>
          <w:color w:val="000000"/>
          <w:sz w:val="23"/>
          <w:szCs w:val="23"/>
          <w:lang w:eastAsia="fr-FR"/>
        </w:rPr>
        <w:t>Article 44 </w:t>
      </w:r>
      <w:hyperlink r:id="rId207" w:tooltip="En savoir plus sur l'article 4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I du même article L. 441-2-3 est complété par un alinéa ainsi rédigé :</w:t>
      </w:r>
      <w:r w:rsidRPr="00874A27">
        <w:rPr>
          <w:rFonts w:ascii="Arial" w:eastAsia="Times New Roman" w:hAnsi="Arial" w:cs="Arial"/>
          <w:color w:val="000000"/>
          <w:sz w:val="19"/>
          <w:szCs w:val="19"/>
          <w:lang w:eastAsia="fr-FR"/>
        </w:rPr>
        <w:br/>
        <w:t>« Un représentant de la personne morale gérant le service intégré d'accueil et d'orientation dans le département peut assister à la commission à titre consultatif.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44" w:name="JORFARTI000028773423"/>
      <w:bookmarkEnd w:id="44"/>
      <w:r w:rsidRPr="00874A27">
        <w:rPr>
          <w:rFonts w:ascii="Arial" w:eastAsia="Times New Roman" w:hAnsi="Arial" w:cs="Arial"/>
          <w:b/>
          <w:bCs/>
          <w:color w:val="000000"/>
          <w:sz w:val="23"/>
          <w:szCs w:val="23"/>
          <w:lang w:eastAsia="fr-FR"/>
        </w:rPr>
        <w:t>Article 45 </w:t>
      </w:r>
      <w:hyperlink r:id="rId208" w:tooltip="En savoir plus sur l'article 4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Au premier alinéa de l'article L. 345-2-2 du code de l'action sociale et des familles, le mot : « et » est remplacé par le mot : « ou ».</w:t>
      </w:r>
    </w:p>
    <w:p w:rsidR="00874A27" w:rsidRPr="00874A27" w:rsidRDefault="00874A27" w:rsidP="00874A27">
      <w:pPr>
        <w:numPr>
          <w:ilvl w:val="2"/>
          <w:numId w:val="1"/>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3 : Simplifier les règles de domiciliation</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45" w:name="JORFARTI000028773426"/>
      <w:bookmarkEnd w:id="45"/>
      <w:r w:rsidRPr="00874A27">
        <w:rPr>
          <w:rFonts w:ascii="Arial" w:eastAsia="Times New Roman" w:hAnsi="Arial" w:cs="Arial"/>
          <w:b/>
          <w:bCs/>
          <w:color w:val="000000"/>
          <w:sz w:val="23"/>
          <w:szCs w:val="23"/>
          <w:lang w:eastAsia="fr-FR"/>
        </w:rPr>
        <w:t>Article 46 </w:t>
      </w:r>
      <w:hyperlink r:id="rId209" w:tooltip="En savoir plus sur l'article 4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même code est ainsi modifié :</w:t>
      </w:r>
      <w:r w:rsidRPr="00874A27">
        <w:rPr>
          <w:rFonts w:ascii="Arial" w:eastAsia="Times New Roman" w:hAnsi="Arial" w:cs="Arial"/>
          <w:color w:val="000000"/>
          <w:sz w:val="19"/>
          <w:szCs w:val="19"/>
          <w:lang w:eastAsia="fr-FR"/>
        </w:rPr>
        <w:br/>
        <w:t>1° Après la seconde occurrence du mot : « domicile », la fin de l'article L. 252-2 est ainsi rédigée : « dans les conditions prévues au chapitre IV du titre VI du présent livre II. » ;</w:t>
      </w:r>
      <w:r w:rsidRPr="00874A27">
        <w:rPr>
          <w:rFonts w:ascii="Arial" w:eastAsia="Times New Roman" w:hAnsi="Arial" w:cs="Arial"/>
          <w:color w:val="000000"/>
          <w:sz w:val="19"/>
          <w:szCs w:val="19"/>
          <w:lang w:eastAsia="fr-FR"/>
        </w:rPr>
        <w:br/>
        <w:t>2° Le premier alinéa de l'article L. 264-1 est ainsi modifié :</w:t>
      </w:r>
      <w:r w:rsidRPr="00874A27">
        <w:rPr>
          <w:rFonts w:ascii="Arial" w:eastAsia="Times New Roman" w:hAnsi="Arial" w:cs="Arial"/>
          <w:color w:val="000000"/>
          <w:sz w:val="19"/>
          <w:szCs w:val="19"/>
          <w:lang w:eastAsia="fr-FR"/>
        </w:rPr>
        <w:br/>
        <w:t>a) Les mots : « à l'exception de l'aide médicale de l'Etat mentionnée à l'article L. 251-1 » sont remplacés par les mots : « à l'exercice des droits civils qui leur sont reconnus par la loi, » ;</w:t>
      </w:r>
      <w:r w:rsidRPr="00874A27">
        <w:rPr>
          <w:rFonts w:ascii="Arial" w:eastAsia="Times New Roman" w:hAnsi="Arial" w:cs="Arial"/>
          <w:color w:val="000000"/>
          <w:sz w:val="19"/>
          <w:szCs w:val="19"/>
          <w:lang w:eastAsia="fr-FR"/>
        </w:rPr>
        <w:br/>
        <w:t>b) Le mot : « juridique » est remplacé par le mot : « juridictionnelle » ;</w:t>
      </w:r>
      <w:r w:rsidRPr="00874A27">
        <w:rPr>
          <w:rFonts w:ascii="Arial" w:eastAsia="Times New Roman" w:hAnsi="Arial" w:cs="Arial"/>
          <w:color w:val="000000"/>
          <w:sz w:val="19"/>
          <w:szCs w:val="19"/>
          <w:lang w:eastAsia="fr-FR"/>
        </w:rPr>
        <w:br/>
        <w:t>3° Le dernier alinéa de l'article L. 264-2 est complété par les mots : «, à moins qu'elle sollicite l'aide médicale de l'Etat mentionnée à l'article L. 251-1 du présent code, l'aide juridictionnelle en application des </w:t>
      </w:r>
      <w:hyperlink r:id="rId210" w:history="1">
        <w:r w:rsidRPr="00874A27">
          <w:rPr>
            <w:rFonts w:ascii="Arial" w:eastAsia="Times New Roman" w:hAnsi="Arial" w:cs="Arial"/>
            <w:color w:val="336699"/>
            <w:sz w:val="19"/>
            <w:szCs w:val="19"/>
            <w:u w:val="single"/>
            <w:lang w:eastAsia="fr-FR"/>
          </w:rPr>
          <w:t>troisième ou quatrième alinéas de l'article 3 de la loi n° 91-647 du 10 juillet 1991 </w:t>
        </w:r>
      </w:hyperlink>
      <w:r w:rsidRPr="00874A27">
        <w:rPr>
          <w:rFonts w:ascii="Arial" w:eastAsia="Times New Roman" w:hAnsi="Arial" w:cs="Arial"/>
          <w:color w:val="000000"/>
          <w:sz w:val="19"/>
          <w:szCs w:val="19"/>
          <w:lang w:eastAsia="fr-FR"/>
        </w:rPr>
        <w:t>relative à l'aide juridique ou l'exercice des droits civils qui lui sont reconnus par la loi ».</w:t>
      </w:r>
      <w:r w:rsidRPr="00874A27">
        <w:rPr>
          <w:rFonts w:ascii="Arial" w:eastAsia="Times New Roman" w:hAnsi="Arial" w:cs="Arial"/>
          <w:color w:val="000000"/>
          <w:sz w:val="19"/>
          <w:szCs w:val="19"/>
          <w:lang w:eastAsia="fr-FR"/>
        </w:rPr>
        <w:br/>
        <w:t>II. ― Après le premier alinéa de l'article 102 du code civil, il est inséré un alinéa ainsi rédigé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Le lieu d'exercice des droits civils d'une personne sans domicile stable est celui où elle a fait élection de domicile dans les conditions prévues à l'</w:t>
      </w:r>
      <w:hyperlink r:id="rId211" w:history="1">
        <w:r w:rsidRPr="00874A27">
          <w:rPr>
            <w:rFonts w:ascii="Arial" w:eastAsia="Times New Roman" w:hAnsi="Arial" w:cs="Arial"/>
            <w:color w:val="336699"/>
            <w:sz w:val="19"/>
            <w:szCs w:val="19"/>
            <w:u w:val="single"/>
            <w:lang w:eastAsia="fr-FR"/>
          </w:rPr>
          <w:t>article L. 264-1 du code de l'action sociale et des familles</w:t>
        </w:r>
      </w:hyperlink>
      <w:r w:rsidRPr="00874A27">
        <w:rPr>
          <w:rFonts w:ascii="Arial" w:eastAsia="Times New Roman" w:hAnsi="Arial" w:cs="Arial"/>
          <w:color w:val="000000"/>
          <w:sz w:val="19"/>
          <w:szCs w:val="19"/>
          <w:lang w:eastAsia="fr-FR"/>
        </w:rPr>
        <w:t>. »</w:t>
      </w:r>
    </w:p>
    <w:p w:rsidR="00874A27" w:rsidRPr="00874A27" w:rsidRDefault="00874A27" w:rsidP="00874A27">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VI : Créer de nouvelles formes d'accès au logement par l'habitat participatif</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46" w:name="JORFARTI000028772674"/>
      <w:bookmarkEnd w:id="46"/>
      <w:r w:rsidRPr="00874A27">
        <w:rPr>
          <w:rFonts w:ascii="Arial" w:eastAsia="Times New Roman" w:hAnsi="Arial" w:cs="Arial"/>
          <w:b/>
          <w:bCs/>
          <w:color w:val="000000"/>
          <w:sz w:val="23"/>
          <w:szCs w:val="23"/>
          <w:lang w:eastAsia="fr-FR"/>
        </w:rPr>
        <w:t>Article 47 </w:t>
      </w:r>
      <w:hyperlink r:id="rId212" w:tooltip="En savoir plus sur l'article 4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Au début du livre II du code de la construction et de l'habitation, il est ajouté un titre préliminaire ainsi rédigé :</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PRÉLIMINAIRE</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LES SOCIÉTÉS D'HABITAT PARTICIPATIF</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200-1.-L'habitat participatif est une démarche citoyenne qui permet à des personnes physiques de s'associer, le cas échéant avec des personnes morales, afin de participer à la définition et à la conception de leurs logements et des espaces destinés à un usage commun, de construire ou d'acquérir un ou plusieurs immeubles destinés à leur habitation et, le cas échéant, d'assurer la gestion ultérieure des immeubles construits ou acquis.</w:t>
      </w:r>
      <w:r w:rsidRPr="00874A27">
        <w:rPr>
          <w:rFonts w:ascii="Arial" w:eastAsia="Times New Roman" w:hAnsi="Arial" w:cs="Arial"/>
          <w:color w:val="000000"/>
          <w:sz w:val="19"/>
          <w:szCs w:val="19"/>
          <w:lang w:eastAsia="fr-FR"/>
        </w:rPr>
        <w:br/>
        <w:t>« En partenariat avec les différents acteurs agissant en faveur de l'amélioration et de la réhabilitation du parc de logements existant public ou privé et dans le respect des politiques menées aux niveaux national et local, l'habitat participatif favorise la construction et la mise à disposition de logements, ainsi que la mise en valeur d'espaces collectifs dans une logique de partage et de solidarité entre habitants.</w:t>
      </w:r>
      <w:r w:rsidRPr="00874A27">
        <w:rPr>
          <w:rFonts w:ascii="Arial" w:eastAsia="Times New Roman" w:hAnsi="Arial" w:cs="Arial"/>
          <w:color w:val="000000"/>
          <w:sz w:val="19"/>
          <w:szCs w:val="19"/>
          <w:lang w:eastAsia="fr-FR"/>
        </w:rPr>
        <w:br/>
        <w:t>« Art. L. 200-2.-Sans préjudice des autres formes juridiques prévues par la loi, les sociétés d'habitat participatif peuvent se constituer sous la forme de coopératives d'habitants ou de sociétés d'attribution et d'autopromotion, définies aux chapitres Ier et II du présent titre.</w:t>
      </w:r>
      <w:r w:rsidRPr="00874A27">
        <w:rPr>
          <w:rFonts w:ascii="Arial" w:eastAsia="Times New Roman" w:hAnsi="Arial" w:cs="Arial"/>
          <w:color w:val="000000"/>
          <w:sz w:val="19"/>
          <w:szCs w:val="19"/>
          <w:lang w:eastAsia="fr-FR"/>
        </w:rPr>
        <w:br/>
        <w:t>« Art. L. 200-3.-Les personnes souhaitant s'engager dans cette démarche peuvent s'associer en sociétés d'habitat participatif, sous réserve, lorsqu'elles se constituent sous la forme de coopératives d'habitants ou de sociétés d'attribution et d'autopromotion, que les éventuelles personnes morales qui y adhèrent ne détiennent pas plus de 30 % du capital social ou des droits de vote.</w:t>
      </w:r>
      <w:r w:rsidRPr="00874A27">
        <w:rPr>
          <w:rFonts w:ascii="Arial" w:eastAsia="Times New Roman" w:hAnsi="Arial" w:cs="Arial"/>
          <w:color w:val="000000"/>
          <w:sz w:val="19"/>
          <w:szCs w:val="19"/>
          <w:lang w:eastAsia="fr-FR"/>
        </w:rPr>
        <w:br/>
        <w:t>« Art. L. 200-4.-Lorsque, par dérogation aux articles L. 201-2 et L. 202-2, un organisme d'habitations à loyer modéré, une société d'économie mixte mentionnée à l'article L. 481-1 ou un organisme agréé mentionné à l'article L. 365-2 ou L. 365-4 détient un droit de jouissance sur un ou plusieurs logements, ce nombre est fixé à proportion de sa participation dans le capital de la société.</w:t>
      </w:r>
      <w:r w:rsidRPr="00874A27">
        <w:rPr>
          <w:rFonts w:ascii="Arial" w:eastAsia="Times New Roman" w:hAnsi="Arial" w:cs="Arial"/>
          <w:color w:val="000000"/>
          <w:sz w:val="19"/>
          <w:szCs w:val="19"/>
          <w:lang w:eastAsia="fr-FR"/>
        </w:rPr>
        <w:br/>
        <w:t>« Art. L. 200-5.-Par dérogation à l'article 1857 du code civil, les associés des sociétés régies par le présent titre et constituées sous la forme de société civile ne répondent des dettes sociales à l'égard des tiers qu'à concurrence de leurs apports.</w:t>
      </w:r>
      <w:r w:rsidRPr="00874A27">
        <w:rPr>
          <w:rFonts w:ascii="Arial" w:eastAsia="Times New Roman" w:hAnsi="Arial" w:cs="Arial"/>
          <w:color w:val="000000"/>
          <w:sz w:val="19"/>
          <w:szCs w:val="19"/>
          <w:lang w:eastAsia="fr-FR"/>
        </w:rPr>
        <w:br/>
        <w:t>« Art. L. 200-6.-La décision régulièrement prise par toute société, quelle qu'en soit la forme, de modifier ses statuts pour les adapter au présent titre n'entraîne pas la création d'une personne morale nouvelle.</w:t>
      </w:r>
      <w:r w:rsidRPr="00874A27">
        <w:rPr>
          <w:rFonts w:ascii="Arial" w:eastAsia="Times New Roman" w:hAnsi="Arial" w:cs="Arial"/>
          <w:color w:val="000000"/>
          <w:sz w:val="19"/>
          <w:szCs w:val="19"/>
          <w:lang w:eastAsia="fr-FR"/>
        </w:rPr>
        <w:br/>
        <w:t>« Art. L. 200-7.-Chaque société d'habitat participatif limite son objet à des opérations de construction ou de gestion comprises dans un même programme, comportant une ou plusieurs tranches, d'un même ensemble immobilier.</w:t>
      </w:r>
      <w:r w:rsidRPr="00874A27">
        <w:rPr>
          <w:rFonts w:ascii="Arial" w:eastAsia="Times New Roman" w:hAnsi="Arial" w:cs="Arial"/>
          <w:color w:val="000000"/>
          <w:sz w:val="19"/>
          <w:szCs w:val="19"/>
          <w:lang w:eastAsia="fr-FR"/>
        </w:rPr>
        <w:br/>
        <w:t>« Art. L. 200-8.-Les sociétés d'habitat participatif peuvent développer des activités et offrir des services à leurs associés et, à titre accessoire, à des tiers non associés, selon des conditions fixées par décret en Conseil d'Etat. Ces opérations font l'objet d'une comptabilité séparée.</w:t>
      </w:r>
      <w:r w:rsidRPr="00874A27">
        <w:rPr>
          <w:rFonts w:ascii="Arial" w:eastAsia="Times New Roman" w:hAnsi="Arial" w:cs="Arial"/>
          <w:color w:val="000000"/>
          <w:sz w:val="19"/>
          <w:szCs w:val="19"/>
          <w:lang w:eastAsia="fr-FR"/>
        </w:rPr>
        <w:br/>
        <w:t>« Art. L. 200-9.-Avant tout commencement de travaux de construction, l'assemblée générale de toute société régie par le présent titre ayant pour objet la construction d'un immeuble doit en approuver les conditions techniques et financières d'exécution et fixer les bases selon lesquelles les différents éléments composant le prix de revient global sont répartis entre les locaux à édifier, afin de déterminer le prix de chacun d'eux. Chaque société doit également justifier, avant tout commencement de travaux de construction, d'une garantie permettant de disposer des fonds nécessaires à l'achèvement de l'immeuble, dont la nature et les modalités sont définies par décret en Conseil d'Etat.</w:t>
      </w:r>
      <w:r w:rsidRPr="00874A27">
        <w:rPr>
          <w:rFonts w:ascii="Arial" w:eastAsia="Times New Roman" w:hAnsi="Arial" w:cs="Arial"/>
          <w:color w:val="000000"/>
          <w:sz w:val="19"/>
          <w:szCs w:val="19"/>
          <w:lang w:eastAsia="fr-FR"/>
        </w:rPr>
        <w:br/>
        <w:t>« Art. L. 200-10.-L'assemblée générale des associés adopte une charte fixant les règles de fonctionnement de l'immeuble, notamment les règles d'utilisation des lieux de vie collective mentionnés au 4° de l'article L. 201-2 et au 3° de l'article L. 202-2.</w:t>
      </w:r>
      <w:r w:rsidRPr="00874A27">
        <w:rPr>
          <w:rFonts w:ascii="Arial" w:eastAsia="Times New Roman" w:hAnsi="Arial" w:cs="Arial"/>
          <w:color w:val="000000"/>
          <w:sz w:val="19"/>
          <w:szCs w:val="19"/>
          <w:lang w:eastAsia="fr-FR"/>
        </w:rPr>
        <w:br/>
        <w:t>« Avant l'entrée dans les lieux, les locataires n'ayant pas la qualité d'associé signent cette charte, qui est annexée à leur contrat de bail.</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Il est remis au futur locataire à qui est faite la proposition d'attribution d'un logement locatif social relevant d'une société d'habitat participatif la copie des statuts de la société ainsi que tout document que celle-ci a souhaité annexer à ces statuts et qui porte sur la participation des futurs habitants et sociétaires à la vie de la société d'habitat participatif. Le refus ou le défaut d'attestation de transmission de ce document vaut refus par le futur locataire de la proposition d'attribution du logement. Les conditions particulières du bail signé ultérieurement par le locataire sont annexées aux documents susmentionnés.</w:t>
      </w:r>
      <w:r w:rsidRPr="00874A27">
        <w:rPr>
          <w:rFonts w:ascii="Arial" w:eastAsia="Times New Roman" w:hAnsi="Arial" w:cs="Arial"/>
          <w:color w:val="000000"/>
          <w:sz w:val="19"/>
          <w:szCs w:val="19"/>
          <w:lang w:eastAsia="fr-FR"/>
        </w:rPr>
        <w:br/>
        <w:t>« Art. L. 200-11.-Un décret en Conseil d'Etat définit les modalités d'application du présent titre.</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Ier</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Les coopératives d'habitants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201-1.-Les sociétés coopératives d'habitants sont des sociétés à capital variable régies, sous réserve des dispositions du présent chapitre, par le chapitre Ier du titre III du livre II du code de commerce et par les titres Ier, II, II ter, III et IV de la loi n° 47-1775 du 10 septembre 1947 portant statut de la coopération. Elles peuvent être valablement constituées sous les différentes formes prévues par la loi.</w:t>
      </w:r>
      <w:r w:rsidRPr="00874A27">
        <w:rPr>
          <w:rFonts w:ascii="Arial" w:eastAsia="Times New Roman" w:hAnsi="Arial" w:cs="Arial"/>
          <w:color w:val="000000"/>
          <w:sz w:val="19"/>
          <w:szCs w:val="19"/>
          <w:lang w:eastAsia="fr-FR"/>
        </w:rPr>
        <w:br/>
        <w:t>« Art. L. 201-2.-Elles ont pour objet de fournir à leurs associés personnes physiques la jouissance d'un logement à titre de résidence principale et de contribuer au développement de leur vie collective dans les conditions prévues au présent article. Pour cela elles peuvent :</w:t>
      </w:r>
      <w:r w:rsidRPr="00874A27">
        <w:rPr>
          <w:rFonts w:ascii="Arial" w:eastAsia="Times New Roman" w:hAnsi="Arial" w:cs="Arial"/>
          <w:color w:val="000000"/>
          <w:sz w:val="19"/>
          <w:szCs w:val="19"/>
          <w:lang w:eastAsia="fr-FR"/>
        </w:rPr>
        <w:br/>
        <w:t>« 1° Acquérir un ou plusieurs terrains ou des droits réels permettant de construire ;</w:t>
      </w:r>
      <w:r w:rsidRPr="00874A27">
        <w:rPr>
          <w:rFonts w:ascii="Arial" w:eastAsia="Times New Roman" w:hAnsi="Arial" w:cs="Arial"/>
          <w:color w:val="000000"/>
          <w:sz w:val="19"/>
          <w:szCs w:val="19"/>
          <w:lang w:eastAsia="fr-FR"/>
        </w:rPr>
        <w:br/>
        <w:t>« 2° Construire ou acquérir des immeubles à usage principal d'habitation destinés à leurs associés ;</w:t>
      </w:r>
      <w:r w:rsidRPr="00874A27">
        <w:rPr>
          <w:rFonts w:ascii="Arial" w:eastAsia="Times New Roman" w:hAnsi="Arial" w:cs="Arial"/>
          <w:color w:val="000000"/>
          <w:sz w:val="19"/>
          <w:szCs w:val="19"/>
          <w:lang w:eastAsia="fr-FR"/>
        </w:rPr>
        <w:br/>
        <w:t>« 3° Attribuer la jouissance de ces logements à leurs associés personnes physiques au moyen du contrat coopératif mentionné à l'article L. 201-8 ;</w:t>
      </w:r>
      <w:r w:rsidRPr="00874A27">
        <w:rPr>
          <w:rFonts w:ascii="Arial" w:eastAsia="Times New Roman" w:hAnsi="Arial" w:cs="Arial"/>
          <w:color w:val="000000"/>
          <w:sz w:val="19"/>
          <w:szCs w:val="19"/>
          <w:lang w:eastAsia="fr-FR"/>
        </w:rPr>
        <w:br/>
        <w:t>« 4° Gérer, entretenir et améliorer les immeubles mentionnés au 2° du présent article ;</w:t>
      </w:r>
      <w:r w:rsidRPr="00874A27">
        <w:rPr>
          <w:rFonts w:ascii="Arial" w:eastAsia="Times New Roman" w:hAnsi="Arial" w:cs="Arial"/>
          <w:color w:val="000000"/>
          <w:sz w:val="19"/>
          <w:szCs w:val="19"/>
          <w:lang w:eastAsia="fr-FR"/>
        </w:rPr>
        <w:br/>
        <w:t>« 5° Entretenir et animer des lieux de vie collective ;</w:t>
      </w:r>
      <w:r w:rsidRPr="00874A27">
        <w:rPr>
          <w:rFonts w:ascii="Arial" w:eastAsia="Times New Roman" w:hAnsi="Arial" w:cs="Arial"/>
          <w:color w:val="000000"/>
          <w:sz w:val="19"/>
          <w:szCs w:val="19"/>
          <w:lang w:eastAsia="fr-FR"/>
        </w:rPr>
        <w:br/>
        <w:t>« 6° Offrir des services à leurs associés et, à titre accessoire, à des tiers non associés.</w:t>
      </w:r>
      <w:r w:rsidRPr="00874A27">
        <w:rPr>
          <w:rFonts w:ascii="Arial" w:eastAsia="Times New Roman" w:hAnsi="Arial" w:cs="Arial"/>
          <w:color w:val="000000"/>
          <w:sz w:val="19"/>
          <w:szCs w:val="19"/>
          <w:lang w:eastAsia="fr-FR"/>
        </w:rPr>
        <w:br/>
        <w:t>« Un décret en Conseil d'Etat détermine les conditions dans lesquelles il peut être dérogé à l'obligation d'établir sa résidence principale dans l'immeuble de la société coopérative régie par l'article L. 201-1.</w:t>
      </w:r>
      <w:r w:rsidRPr="00874A27">
        <w:rPr>
          <w:rFonts w:ascii="Arial" w:eastAsia="Times New Roman" w:hAnsi="Arial" w:cs="Arial"/>
          <w:color w:val="000000"/>
          <w:sz w:val="19"/>
          <w:szCs w:val="19"/>
          <w:lang w:eastAsia="fr-FR"/>
        </w:rPr>
        <w:br/>
        <w:t>« Art. L. 201-3.-Les statuts peuvent prévoir que la coopérative d'habitants admette des tiers non associés à bénéficier des services mentionnés au 6° de l'article L. 201-2, selon des conditions fixées par décret en Conseil d'Etat. Ces opérations font l'objet d'une comptabilité spéciale permettant de connaître le résultat de cette activité.</w:t>
      </w:r>
      <w:r w:rsidRPr="00874A27">
        <w:rPr>
          <w:rFonts w:ascii="Arial" w:eastAsia="Times New Roman" w:hAnsi="Arial" w:cs="Arial"/>
          <w:color w:val="000000"/>
          <w:sz w:val="19"/>
          <w:szCs w:val="19"/>
          <w:lang w:eastAsia="fr-FR"/>
        </w:rPr>
        <w:br/>
        <w:t>« Le chiffre d'affaires correspondant ne peut excéder un pourcentage du capital social ou du chiffre d'affaires de la société, déterminé par décret en Conseil d'Etat.</w:t>
      </w:r>
      <w:r w:rsidRPr="00874A27">
        <w:rPr>
          <w:rFonts w:ascii="Arial" w:eastAsia="Times New Roman" w:hAnsi="Arial" w:cs="Arial"/>
          <w:color w:val="000000"/>
          <w:sz w:val="19"/>
          <w:szCs w:val="19"/>
          <w:lang w:eastAsia="fr-FR"/>
        </w:rPr>
        <w:br/>
        <w:t>« Art. L. 201-4.-Les statuts prévoient que les parts sociales ne peuvent être cédées ou remboursées avant l'attribution en jouissance des logements. Un décret en Conseil d'Etat détermine les conditions permettant de déroger à ce délai.</w:t>
      </w:r>
      <w:r w:rsidRPr="00874A27">
        <w:rPr>
          <w:rFonts w:ascii="Arial" w:eastAsia="Times New Roman" w:hAnsi="Arial" w:cs="Arial"/>
          <w:color w:val="000000"/>
          <w:sz w:val="19"/>
          <w:szCs w:val="19"/>
          <w:lang w:eastAsia="fr-FR"/>
        </w:rPr>
        <w:br/>
        <w:t>« Art. L. 201-5.-I. ― Le prix maximal de cession des parts sociales des sociétés coopératives est limité au montant nominal de ces parts sociales, augmenté d'une majoration qui, dans la limite d'un plafond prévu par les statuts, tient compte de l'indice de référence des loyers.</w:t>
      </w:r>
      <w:r w:rsidRPr="00874A27">
        <w:rPr>
          <w:rFonts w:ascii="Arial" w:eastAsia="Times New Roman" w:hAnsi="Arial" w:cs="Arial"/>
          <w:color w:val="000000"/>
          <w:sz w:val="19"/>
          <w:szCs w:val="19"/>
          <w:lang w:eastAsia="fr-FR"/>
        </w:rPr>
        <w:br/>
        <w:t>« Toute cession de parts sociales intervenue en violation d'une telle clause est nulle.</w:t>
      </w:r>
      <w:r w:rsidRPr="00874A27">
        <w:rPr>
          <w:rFonts w:ascii="Arial" w:eastAsia="Times New Roman" w:hAnsi="Arial" w:cs="Arial"/>
          <w:color w:val="000000"/>
          <w:sz w:val="19"/>
          <w:szCs w:val="19"/>
          <w:lang w:eastAsia="fr-FR"/>
        </w:rPr>
        <w:br/>
        <w:t>« Un associé coopérateur peut se retirer de la société après autorisation de l'assemblée générale des associés.</w:t>
      </w:r>
      <w:r w:rsidRPr="00874A27">
        <w:rPr>
          <w:rFonts w:ascii="Arial" w:eastAsia="Times New Roman" w:hAnsi="Arial" w:cs="Arial"/>
          <w:color w:val="000000"/>
          <w:sz w:val="19"/>
          <w:szCs w:val="19"/>
          <w:lang w:eastAsia="fr-FR"/>
        </w:rPr>
        <w:br/>
        <w:t>« Toutefois, si l'associé cédant ses parts ou se retirant présente un nouvel associé, cette autorisation ne peut être refusée que pour un motif sérieux et légitime. L'assemblée générale n'est pas tenue d'accepter comme associé la personne proposée par l'associé cédant ses parts ou se retirant et peut accepter le retrait ou la cession en agréant une autre personne, sans avoir à motiver sa décision. En cas de refus injustifié, le retrait ou la cession peut être autorisé par le juge, saisi dans le délai d'un mois à compter de la notification du refus.</w:t>
      </w:r>
      <w:r w:rsidRPr="00874A27">
        <w:rPr>
          <w:rFonts w:ascii="Arial" w:eastAsia="Times New Roman" w:hAnsi="Arial" w:cs="Arial"/>
          <w:color w:val="000000"/>
          <w:sz w:val="19"/>
          <w:szCs w:val="19"/>
          <w:lang w:eastAsia="fr-FR"/>
        </w:rPr>
        <w:br/>
        <w:t>« II. ― Le prix maximal de remboursement des parts sociales des sociétés coopératives, en cas de retrait, est limité au montant nominal de ces parts sociales, augmenté d'une majoration dont le plafond est prévu dans les statuts. Ce plafond ne peut pas excéder l'évolution de l'indice de référence des loyers. Ce montant ne peut excéder le prix maximal de cession des parts sociales défini au premier alinéa du I du présent article.</w:t>
      </w:r>
      <w:r w:rsidRPr="00874A27">
        <w:rPr>
          <w:rFonts w:ascii="Arial" w:eastAsia="Times New Roman" w:hAnsi="Arial" w:cs="Arial"/>
          <w:color w:val="000000"/>
          <w:sz w:val="19"/>
          <w:szCs w:val="19"/>
          <w:lang w:eastAsia="fr-FR"/>
        </w:rPr>
        <w:br/>
        <w:t>« III. ― L'exclusion d'un associé ne peut être prononcée par l'assemblée générale que pour un motif sérieux et légitime. Le prix maximal de remboursement des parts sociales de l'associé exclu est limité au montant nominal de ces parts sociales, augmenté d'une majoration qui, dans la limite d'un plafond prévu par les statuts, correspond à l'évolution de l'indice de référence des loyers. L'associé exclu dispose d'un recours devant le juge, saisi dans le délai d'un mois à compter du jour où il a reçu notification de cette décision.</w:t>
      </w:r>
      <w:r w:rsidRPr="00874A27">
        <w:rPr>
          <w:rFonts w:ascii="Arial" w:eastAsia="Times New Roman" w:hAnsi="Arial" w:cs="Arial"/>
          <w:color w:val="000000"/>
          <w:sz w:val="19"/>
          <w:szCs w:val="19"/>
          <w:lang w:eastAsia="fr-FR"/>
        </w:rPr>
        <w:br/>
        <w:t xml:space="preserve">« IV. ― L'associé démissionnaire, exclu ou qui cède ses parts sociales ne supporte pas la quote-part </w:t>
      </w:r>
      <w:r w:rsidRPr="00874A27">
        <w:rPr>
          <w:rFonts w:ascii="Arial" w:eastAsia="Times New Roman" w:hAnsi="Arial" w:cs="Arial"/>
          <w:color w:val="000000"/>
          <w:sz w:val="19"/>
          <w:szCs w:val="19"/>
          <w:lang w:eastAsia="fr-FR"/>
        </w:rPr>
        <w:lastRenderedPageBreak/>
        <w:t>des pertes afférentes aux amortissements de l'ensemble immobilier.</w:t>
      </w:r>
      <w:r w:rsidRPr="00874A27">
        <w:rPr>
          <w:rFonts w:ascii="Arial" w:eastAsia="Times New Roman" w:hAnsi="Arial" w:cs="Arial"/>
          <w:color w:val="000000"/>
          <w:sz w:val="19"/>
          <w:szCs w:val="19"/>
          <w:lang w:eastAsia="fr-FR"/>
        </w:rPr>
        <w:br/>
        <w:t>« Les sommes versées par l'associé démissionnaire ou l'associé exclu au titre de la libération de ses parts sociales sont remboursées à cet associé, après déduction des charges et frais occasionnés à la société par la démission ou l'exclusion de l'associé. L'appréciation du montant de ces charges et frais peut faire l'objet d'une évaluation forfaitaire faite par les statuts dans les limites fixées par décret en Conseil d'Etat.</w:t>
      </w:r>
      <w:r w:rsidRPr="00874A27">
        <w:rPr>
          <w:rFonts w:ascii="Arial" w:eastAsia="Times New Roman" w:hAnsi="Arial" w:cs="Arial"/>
          <w:color w:val="000000"/>
          <w:sz w:val="19"/>
          <w:szCs w:val="19"/>
          <w:lang w:eastAsia="fr-FR"/>
        </w:rPr>
        <w:br/>
        <w:t>« Art. L. 201-6.-La société coopérative d'habitants constitue des provisions pour gros travaux d'entretien et de réparation, pour vacance des logements et pour impayés de la redevance, dans des conditions prévues par décret en Conseil d'Etat.</w:t>
      </w:r>
      <w:r w:rsidRPr="00874A27">
        <w:rPr>
          <w:rFonts w:ascii="Arial" w:eastAsia="Times New Roman" w:hAnsi="Arial" w:cs="Arial"/>
          <w:color w:val="000000"/>
          <w:sz w:val="19"/>
          <w:szCs w:val="19"/>
          <w:lang w:eastAsia="fr-FR"/>
        </w:rPr>
        <w:br/>
        <w:t>« Art. L. 201-7.-Les associés sont tenus de participer aux charges entraînées par les services collectifs et les éléments d'équipement commun. Un règlement est adopté par l'assemblée générale des associés avant toute entrée dans les lieux et prévoit notamment les modalités de répartition de ces charges entre les associés. Ce règlement est annexé au contrat coopératif prévu à l'article L. 201-8.</w:t>
      </w:r>
      <w:r w:rsidRPr="00874A27">
        <w:rPr>
          <w:rFonts w:ascii="Arial" w:eastAsia="Times New Roman" w:hAnsi="Arial" w:cs="Arial"/>
          <w:color w:val="000000"/>
          <w:sz w:val="19"/>
          <w:szCs w:val="19"/>
          <w:lang w:eastAsia="fr-FR"/>
        </w:rPr>
        <w:br/>
        <w:t>« Art. L. 201-8.-Un contrat coopératif est conclu entre la société coopérative d'habitants et chaque associé coopérateur avant l'entrée en jouissance de ce dernier. Ce contrat confère à l'associé coopérateur un droit de jouissance sur un logement et mentionne, notamment :</w:t>
      </w:r>
      <w:r w:rsidRPr="00874A27">
        <w:rPr>
          <w:rFonts w:ascii="Arial" w:eastAsia="Times New Roman" w:hAnsi="Arial" w:cs="Arial"/>
          <w:color w:val="000000"/>
          <w:sz w:val="19"/>
          <w:szCs w:val="19"/>
          <w:lang w:eastAsia="fr-FR"/>
        </w:rPr>
        <w:br/>
        <w:t>« 1° La désignation et la description du logement dont l'associé coopérateur a la jouissance et des espaces destinés à un usage commun des associés coopérateurs ;</w:t>
      </w:r>
      <w:r w:rsidRPr="00874A27">
        <w:rPr>
          <w:rFonts w:ascii="Arial" w:eastAsia="Times New Roman" w:hAnsi="Arial" w:cs="Arial"/>
          <w:color w:val="000000"/>
          <w:sz w:val="19"/>
          <w:szCs w:val="19"/>
          <w:lang w:eastAsia="fr-FR"/>
        </w:rPr>
        <w:br/>
        <w:t>« 2° Les modalités d'utilisation des espaces mentionnés au 1° ;</w:t>
      </w:r>
      <w:r w:rsidRPr="00874A27">
        <w:rPr>
          <w:rFonts w:ascii="Arial" w:eastAsia="Times New Roman" w:hAnsi="Arial" w:cs="Arial"/>
          <w:color w:val="000000"/>
          <w:sz w:val="19"/>
          <w:szCs w:val="19"/>
          <w:lang w:eastAsia="fr-FR"/>
        </w:rPr>
        <w:br/>
        <w:t>« 3° La date d'entrée en jouissance ;</w:t>
      </w:r>
      <w:r w:rsidRPr="00874A27">
        <w:rPr>
          <w:rFonts w:ascii="Arial" w:eastAsia="Times New Roman" w:hAnsi="Arial" w:cs="Arial"/>
          <w:color w:val="000000"/>
          <w:sz w:val="19"/>
          <w:szCs w:val="19"/>
          <w:lang w:eastAsia="fr-FR"/>
        </w:rPr>
        <w:br/>
        <w:t>« 4° L'absence de maintien de plein droit dans les lieux prévue à l'article L. 201-9 ;</w:t>
      </w:r>
      <w:r w:rsidRPr="00874A27">
        <w:rPr>
          <w:rFonts w:ascii="Arial" w:eastAsia="Times New Roman" w:hAnsi="Arial" w:cs="Arial"/>
          <w:color w:val="000000"/>
          <w:sz w:val="19"/>
          <w:szCs w:val="19"/>
          <w:lang w:eastAsia="fr-FR"/>
        </w:rPr>
        <w:br/>
        <w:t>« 5° Une estimation du montant de la quote-part des charges mentionnées à l'article L. 201-7 que l'associé coopérateur doit acquitter pour la première année d'exécution du contrat ;</w:t>
      </w:r>
      <w:r w:rsidRPr="00874A27">
        <w:rPr>
          <w:rFonts w:ascii="Arial" w:eastAsia="Times New Roman" w:hAnsi="Arial" w:cs="Arial"/>
          <w:color w:val="000000"/>
          <w:sz w:val="19"/>
          <w:szCs w:val="19"/>
          <w:lang w:eastAsia="fr-FR"/>
        </w:rPr>
        <w:br/>
        <w:t>« 6° Le montant de la redevance mise à la charge de l'associé coopérateur, sa périodicité et, le cas échéant, ses modalités de révision. Le contrat coopératif précise à ce titre :</w:t>
      </w:r>
      <w:r w:rsidRPr="00874A27">
        <w:rPr>
          <w:rFonts w:ascii="Arial" w:eastAsia="Times New Roman" w:hAnsi="Arial" w:cs="Arial"/>
          <w:color w:val="000000"/>
          <w:sz w:val="19"/>
          <w:szCs w:val="19"/>
          <w:lang w:eastAsia="fr-FR"/>
        </w:rPr>
        <w:br/>
        <w:t>« a) La valeur de la partie de la redevance correspondant à la jouissance du logement, appelée fraction locative ;</w:t>
      </w:r>
      <w:r w:rsidRPr="00874A27">
        <w:rPr>
          <w:rFonts w:ascii="Arial" w:eastAsia="Times New Roman" w:hAnsi="Arial" w:cs="Arial"/>
          <w:color w:val="000000"/>
          <w:sz w:val="19"/>
          <w:szCs w:val="19"/>
          <w:lang w:eastAsia="fr-FR"/>
        </w:rPr>
        <w:br/>
        <w:t>« b) La valeur de la partie de la redevance correspondant à l'acquisition de parts sociales, appelée fraction acquisitive.</w:t>
      </w:r>
      <w:r w:rsidRPr="00874A27">
        <w:rPr>
          <w:rFonts w:ascii="Arial" w:eastAsia="Times New Roman" w:hAnsi="Arial" w:cs="Arial"/>
          <w:color w:val="000000"/>
          <w:sz w:val="19"/>
          <w:szCs w:val="19"/>
          <w:lang w:eastAsia="fr-FR"/>
        </w:rPr>
        <w:br/>
        <w:t>« Lorsque le contrat coopératif est signé avant l'entrée en jouissance, aucun versement ne peut être exigé au titre de la redevance dès lors que la jouissance n'est pas effective.</w:t>
      </w:r>
      <w:r w:rsidRPr="00874A27">
        <w:rPr>
          <w:rFonts w:ascii="Arial" w:eastAsia="Times New Roman" w:hAnsi="Arial" w:cs="Arial"/>
          <w:color w:val="000000"/>
          <w:sz w:val="19"/>
          <w:szCs w:val="19"/>
          <w:lang w:eastAsia="fr-FR"/>
        </w:rPr>
        <w:br/>
        <w:t>« Art. L. 201-9.-I. ― En cas de décès d'un associé coopérateur, ses héritiers ou légataires disposent d'un délai de deux ans pour signer un contrat coopératif.</w:t>
      </w:r>
      <w:r w:rsidRPr="00874A27">
        <w:rPr>
          <w:rFonts w:ascii="Arial" w:eastAsia="Times New Roman" w:hAnsi="Arial" w:cs="Arial"/>
          <w:color w:val="000000"/>
          <w:sz w:val="19"/>
          <w:szCs w:val="19"/>
          <w:lang w:eastAsia="fr-FR"/>
        </w:rPr>
        <w:br/>
        <w:t>« II. ― La perte de la qualité d'associé coopérateur pour quelque cause que ce soit entraîne la cessation du contrat coopératif mentionné à l'article L. 201-8 et emporte de plein droit la perte du droit de jouissance.</w:t>
      </w:r>
      <w:r w:rsidRPr="00874A27">
        <w:rPr>
          <w:rFonts w:ascii="Arial" w:eastAsia="Times New Roman" w:hAnsi="Arial" w:cs="Arial"/>
          <w:color w:val="000000"/>
          <w:sz w:val="19"/>
          <w:szCs w:val="19"/>
          <w:lang w:eastAsia="fr-FR"/>
        </w:rPr>
        <w:br/>
        <w:t>« Art. L. 201-10.-La société coopérative d'habitants fait procéder périodiquement, sous le nom de révision coopérative, à l'examen de sa situation technique et financière et de sa gestion, dans des conditions fixées par décret en Conseil d'Etat.</w:t>
      </w:r>
      <w:r w:rsidRPr="00874A27">
        <w:rPr>
          <w:rFonts w:ascii="Arial" w:eastAsia="Times New Roman" w:hAnsi="Arial" w:cs="Arial"/>
          <w:color w:val="000000"/>
          <w:sz w:val="19"/>
          <w:szCs w:val="19"/>
          <w:lang w:eastAsia="fr-FR"/>
        </w:rPr>
        <w:br/>
        <w:t>« Art. L. 201-11.-Par dérogation à l'article 19 de la loi n° 47-1775 du 10 septembre 1947 précitée, en cas de dissolution, l'actif net subsistant après extinction du passif et remboursement du capital effectivement versé sous réserve de l'application des articles 16 et 18 de la même loi est dévolu par décision de l'assemblée générale à d'autres coopératives d'habitants régies par le présent code, ou à une union les fédérant ou à tout organisme d'intérêt général destiné à aider à leur financement initial ou à garantir l'achèvement de la production de logement.</w:t>
      </w:r>
      <w:r w:rsidRPr="00874A27">
        <w:rPr>
          <w:rFonts w:ascii="Arial" w:eastAsia="Times New Roman" w:hAnsi="Arial" w:cs="Arial"/>
          <w:color w:val="000000"/>
          <w:sz w:val="19"/>
          <w:szCs w:val="19"/>
          <w:lang w:eastAsia="fr-FR"/>
        </w:rPr>
        <w:br/>
        <w:t>« Art. L. 201-12.-Les deux derniers alinéas de l'article 16, l'article 17 et le deuxième alinéa de l'article 18 de la loi n° 47-1775 du 10 septembre 1947 précitée ne sont pas applicables aux sociétés régies par le présent chapitre.</w:t>
      </w:r>
      <w:r w:rsidRPr="00874A27">
        <w:rPr>
          <w:rFonts w:ascii="Arial" w:eastAsia="Times New Roman" w:hAnsi="Arial" w:cs="Arial"/>
          <w:color w:val="000000"/>
          <w:sz w:val="19"/>
          <w:szCs w:val="19"/>
          <w:lang w:eastAsia="fr-FR"/>
        </w:rPr>
        <w:br/>
        <w:t>« Art. L. 201-13.-Des parts sociales en industrie, correspondant à un apport travail, peuvent être souscrites par les coopérateurs lors de la phase de construction ou de rénovation du projet immobilier ou lors de travaux de réhabilitation du bâti, sous réserve notamment d'un encadrement technique adapté et d'un nombre d'heures minimal. Le nombre d'heures constitutif de ces parts sociales en industrie est fixé en assemblée générale par vote unanime des coopérateurs. Ces parts doivent être intégralement libérées avant la fin desdits travaux et sont plafonnées au montant de l'apport initial demandé aux coopérateurs. Elles concourent à la formation du capital social et sont alors cessibles ou remboursables après un délai de deux ans à compter de la libération totale des parts, déduction faite d'un montant, réparti, correspondant aux coûts spécifiques engendrés par cet apport travail.</w:t>
      </w:r>
      <w:r w:rsidRPr="00874A27">
        <w:rPr>
          <w:rFonts w:ascii="Arial" w:eastAsia="Times New Roman" w:hAnsi="Arial" w:cs="Arial"/>
          <w:color w:val="000000"/>
          <w:sz w:val="19"/>
          <w:szCs w:val="19"/>
          <w:lang w:eastAsia="fr-FR"/>
        </w:rPr>
        <w:br/>
        <w:t>« Un décret en Conseil d'Etat définit l'apport travail, ses conditions d'application et le nombre minimal d'heures.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II</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Les sociétés d'attribution et d'autopromotion</w:t>
      </w:r>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 Art. L. 202-1.-Les sociétés d'attribution et d'autopromotion sont des sociétés à capital variable régies, sous réserve du présent chapitre, par le chapitre Ier du titre III du livre II du code de commerce. Elles peuvent être valablement constituées sous les différentes formes prévues par la loi.</w:t>
      </w:r>
      <w:r w:rsidRPr="00874A27">
        <w:rPr>
          <w:rFonts w:ascii="Arial" w:eastAsia="Times New Roman" w:hAnsi="Arial" w:cs="Arial"/>
          <w:color w:val="000000"/>
          <w:sz w:val="19"/>
          <w:szCs w:val="19"/>
          <w:lang w:eastAsia="fr-FR"/>
        </w:rPr>
        <w:br/>
        <w:t>« Art. L. 202-2.-Elles ont pour objet d'attribuer aux associés personnes physiques la propriété ou la jouissance d'un logement à titre de résidence principale et d'entretenir et animer les lieux de vie collective qui y sont attachés. Pour cela, elles peuvent :</w:t>
      </w:r>
      <w:r w:rsidRPr="00874A27">
        <w:rPr>
          <w:rFonts w:ascii="Arial" w:eastAsia="Times New Roman" w:hAnsi="Arial" w:cs="Arial"/>
          <w:color w:val="000000"/>
          <w:sz w:val="19"/>
          <w:szCs w:val="19"/>
          <w:lang w:eastAsia="fr-FR"/>
        </w:rPr>
        <w:br/>
        <w:t>« 1° Acquérir un ou plusieurs terrains ou des droits réels permettant de construire ;</w:t>
      </w:r>
      <w:r w:rsidRPr="00874A27">
        <w:rPr>
          <w:rFonts w:ascii="Arial" w:eastAsia="Times New Roman" w:hAnsi="Arial" w:cs="Arial"/>
          <w:color w:val="000000"/>
          <w:sz w:val="19"/>
          <w:szCs w:val="19"/>
          <w:lang w:eastAsia="fr-FR"/>
        </w:rPr>
        <w:br/>
        <w:t>« 2° Acquérir ou construire des immeubles à usage d'habitation en vue de leur division par fractions destinées à être attribuées aux associés en propriété ou en jouissance à titre de résidence principale ;</w:t>
      </w:r>
      <w:r w:rsidRPr="00874A27">
        <w:rPr>
          <w:rFonts w:ascii="Arial" w:eastAsia="Times New Roman" w:hAnsi="Arial" w:cs="Arial"/>
          <w:color w:val="000000"/>
          <w:sz w:val="19"/>
          <w:szCs w:val="19"/>
          <w:lang w:eastAsia="fr-FR"/>
        </w:rPr>
        <w:br/>
        <w:t>« 3° Gérer, entretenir et améliorer les immeubles leur appartenant ainsi que les lieux de vie collective qu'ils comportent ;</w:t>
      </w:r>
      <w:r w:rsidRPr="00874A27">
        <w:rPr>
          <w:rFonts w:ascii="Arial" w:eastAsia="Times New Roman" w:hAnsi="Arial" w:cs="Arial"/>
          <w:color w:val="000000"/>
          <w:sz w:val="19"/>
          <w:szCs w:val="19"/>
          <w:lang w:eastAsia="fr-FR"/>
        </w:rPr>
        <w:br/>
        <w:t>« 4° Offrir des services à leurs associés et, à titre accessoire, à des tiers non associés, selon les conditions fixées par décret en Conseil d'Etat. Ces opérations font l'objet d'une comptabilité séparée.</w:t>
      </w:r>
      <w:r w:rsidRPr="00874A27">
        <w:rPr>
          <w:rFonts w:ascii="Arial" w:eastAsia="Times New Roman" w:hAnsi="Arial" w:cs="Arial"/>
          <w:color w:val="000000"/>
          <w:sz w:val="19"/>
          <w:szCs w:val="19"/>
          <w:lang w:eastAsia="fr-FR"/>
        </w:rPr>
        <w:br/>
        <w:t>« Le chiffre d'affaires correspondant ne peut excéder un pourcentage du capital social ou du chiffre d'affaires de la société, déterminé par décret en Conseil d'Etat.</w:t>
      </w:r>
      <w:r w:rsidRPr="00874A27">
        <w:rPr>
          <w:rFonts w:ascii="Arial" w:eastAsia="Times New Roman" w:hAnsi="Arial" w:cs="Arial"/>
          <w:color w:val="000000"/>
          <w:sz w:val="19"/>
          <w:szCs w:val="19"/>
          <w:lang w:eastAsia="fr-FR"/>
        </w:rPr>
        <w:br/>
        <w:t>« Dès la constitution de la société, les statuts optent pour l'attribution des logements en jouissance ou en propriété.</w:t>
      </w:r>
      <w:r w:rsidRPr="00874A27">
        <w:rPr>
          <w:rFonts w:ascii="Arial" w:eastAsia="Times New Roman" w:hAnsi="Arial" w:cs="Arial"/>
          <w:color w:val="000000"/>
          <w:sz w:val="19"/>
          <w:szCs w:val="19"/>
          <w:lang w:eastAsia="fr-FR"/>
        </w:rPr>
        <w:br/>
        <w:t>« Un décret en Conseil d'Etat détermine les conditions dans lesquelles il peut être dérogé à l'obligation d'établir sa résidence principale dans l'immeuble de la société régie par l'article L. 202-1.</w:t>
      </w:r>
      <w:r w:rsidRPr="00874A27">
        <w:rPr>
          <w:rFonts w:ascii="Arial" w:eastAsia="Times New Roman" w:hAnsi="Arial" w:cs="Arial"/>
          <w:color w:val="000000"/>
          <w:sz w:val="19"/>
          <w:szCs w:val="19"/>
          <w:lang w:eastAsia="fr-FR"/>
        </w:rPr>
        <w:br/>
        <w:t>« Art. L. 202-3.-Un état descriptif de division annexé aux statuts délimite les lots et diverses parties de l'immeuble en distinguant celles qui sont communes de celles qui sont à usage privatif. S'il y a lieu, il fixe la quote-part des parties communes afférentes à chaque lot. Les statuts divisent les droits composant le capital social en groupes et affectent à chacun d'eux l'un des lots définis par l'état descriptif de division pour être attribué au titulaire du groupe considéré.</w:t>
      </w:r>
      <w:r w:rsidRPr="00874A27">
        <w:rPr>
          <w:rFonts w:ascii="Arial" w:eastAsia="Times New Roman" w:hAnsi="Arial" w:cs="Arial"/>
          <w:color w:val="000000"/>
          <w:sz w:val="19"/>
          <w:szCs w:val="19"/>
          <w:lang w:eastAsia="fr-FR"/>
        </w:rPr>
        <w:br/>
        <w:t>« En cas d'attribution en propriété, un règlement précise la destination des parties réservées à l'usage privatif des associés et, s'il y a lieu, celle des parties communes affectées à l'usage de tous les associés ou de plusieurs d'entre eux.</w:t>
      </w:r>
      <w:r w:rsidRPr="00874A27">
        <w:rPr>
          <w:rFonts w:ascii="Arial" w:eastAsia="Times New Roman" w:hAnsi="Arial" w:cs="Arial"/>
          <w:color w:val="000000"/>
          <w:sz w:val="19"/>
          <w:szCs w:val="19"/>
          <w:lang w:eastAsia="fr-FR"/>
        </w:rPr>
        <w:br/>
        <w:t>« Si l'attribution en propriété d'une ou plusieurs fractions de l'immeuble emporte l'application de la loi n° 65-557 du 10 juillet 1965 fixant le statut de la copropriété des immeubles bâtis, le règlement est établi en conformité avec cette loi et est annexé aux statuts de la société.</w:t>
      </w:r>
      <w:r w:rsidRPr="00874A27">
        <w:rPr>
          <w:rFonts w:ascii="Arial" w:eastAsia="Times New Roman" w:hAnsi="Arial" w:cs="Arial"/>
          <w:color w:val="000000"/>
          <w:sz w:val="19"/>
          <w:szCs w:val="19"/>
          <w:lang w:eastAsia="fr-FR"/>
        </w:rPr>
        <w:br/>
        <w:t>« En cas d'attribution en jouissance, un règlement en jouissance délimite les diverses parties de l'immeuble, en distinguant celles qui sont communes de celles qui sont à usage privatif. Il précise la destination des parties destinées à un usage privatif et, s'il y a lieu, celle des parties communes affectées à l'usage de tous les associés ou de plusieurs d'entre eux. Ce règlement en jouissance est annexé aux statuts.</w:t>
      </w:r>
      <w:r w:rsidRPr="00874A27">
        <w:rPr>
          <w:rFonts w:ascii="Arial" w:eastAsia="Times New Roman" w:hAnsi="Arial" w:cs="Arial"/>
          <w:color w:val="000000"/>
          <w:sz w:val="19"/>
          <w:szCs w:val="19"/>
          <w:lang w:eastAsia="fr-FR"/>
        </w:rPr>
        <w:br/>
        <w:t>« L'état descriptif de division, les règlements mentionnés au présent article et les dispositions corrélatives des statuts sont adoptés avant tout commencement des travaux de construction.</w:t>
      </w:r>
      <w:r w:rsidRPr="00874A27">
        <w:rPr>
          <w:rFonts w:ascii="Arial" w:eastAsia="Times New Roman" w:hAnsi="Arial" w:cs="Arial"/>
          <w:color w:val="000000"/>
          <w:sz w:val="19"/>
          <w:szCs w:val="19"/>
          <w:lang w:eastAsia="fr-FR"/>
        </w:rPr>
        <w:br/>
        <w:t>« Art. L. 202-4.-Les associés sont tenus de répondre aux appels de fonds nécessités par la construction de l'immeuble, en proportion de leurs droits dans le capital.</w:t>
      </w:r>
      <w:r w:rsidRPr="00874A27">
        <w:rPr>
          <w:rFonts w:ascii="Arial" w:eastAsia="Times New Roman" w:hAnsi="Arial" w:cs="Arial"/>
          <w:color w:val="000000"/>
          <w:sz w:val="19"/>
          <w:szCs w:val="19"/>
          <w:lang w:eastAsia="fr-FR"/>
        </w:rPr>
        <w:br/>
        <w:t>« Art. L. 202-5.-L'associé qui ne satisfait pas aux obligations auxquelles il est tenu envers la société en vertu de l'article L. 202-4 ne peut prétendre ni à entrer en jouissance de la fraction de l'immeuble à laquelle il a vocation, ni à se maintenir dans cette jouissance, ni à obtenir l'attribution en propriété de ladite fraction.</w:t>
      </w:r>
      <w:r w:rsidRPr="00874A27">
        <w:rPr>
          <w:rFonts w:ascii="Arial" w:eastAsia="Times New Roman" w:hAnsi="Arial" w:cs="Arial"/>
          <w:color w:val="000000"/>
          <w:sz w:val="19"/>
          <w:szCs w:val="19"/>
          <w:lang w:eastAsia="fr-FR"/>
        </w:rPr>
        <w:br/>
        <w:t>« Les droits sociaux appartenant à l'associé défaillant peuvent, un mois après une sommation de payer restée sans effet, être mis en vente publique, sur autorisation de l'assemblée générale prise à la majorité des deux tiers des droits sociaux et, sur deuxième convocation, à la majorité des deux tiers des droits sociaux dont les titulaires sont présents ou représentés. Nonobstant toute disposition contraire des statuts, les parts ou actions détenues par les associés à l'encontre desquels la mise en vente est à l'ordre du jour de l'assemblée ne sont pas prises en compte pour le calcul des majorités requises.</w:t>
      </w:r>
      <w:r w:rsidRPr="00874A27">
        <w:rPr>
          <w:rFonts w:ascii="Arial" w:eastAsia="Times New Roman" w:hAnsi="Arial" w:cs="Arial"/>
          <w:color w:val="000000"/>
          <w:sz w:val="19"/>
          <w:szCs w:val="19"/>
          <w:lang w:eastAsia="fr-FR"/>
        </w:rPr>
        <w:br/>
        <w:t>« La mise en vente publique est notifiée à l'associé défaillant et publiée dans un des journaux d'annonces légales du lieu du siège social. Si l'associé est titulaire de plusieurs groupes de droits sociaux donnant vocation à des parties différentes de l'immeuble, chacun de ces groupes peut être mis en vente séparément.</w:t>
      </w:r>
      <w:r w:rsidRPr="00874A27">
        <w:rPr>
          <w:rFonts w:ascii="Arial" w:eastAsia="Times New Roman" w:hAnsi="Arial" w:cs="Arial"/>
          <w:color w:val="000000"/>
          <w:sz w:val="19"/>
          <w:szCs w:val="19"/>
          <w:lang w:eastAsia="fr-FR"/>
        </w:rPr>
        <w:br/>
        <w:t>« La vente a lieu pour le compte et aux risques de l'associé défaillant, qui est tenu, vis-à-vis de la société, des appels de fonds mis en recouvrement antérieurement à la vente. Les sommes produites par l'adjudication sont affectées par privilège au paiement des sommes dont cet associé est redevable à la société. Ce privilège l'emporte sur toutes les sûretés réelles conventionnelles grevant les droits sociaux du défaillant. Si des nantissements ont été constitués sur les parts ou actions vendues en application du présent article, le droit de rétention des créanciers nantis n'est opposable ni à la société, ni à l'adjudicataire des droits sociaux.</w:t>
      </w:r>
      <w:r w:rsidRPr="00874A27">
        <w:rPr>
          <w:rFonts w:ascii="Arial" w:eastAsia="Times New Roman" w:hAnsi="Arial" w:cs="Arial"/>
          <w:color w:val="000000"/>
          <w:sz w:val="19"/>
          <w:szCs w:val="19"/>
          <w:lang w:eastAsia="fr-FR"/>
        </w:rPr>
        <w:br/>
        <w:t xml:space="preserve">« Art. L. 202-6.-Les droits des associés dans le capital social doivent être proportionnels à la valeur des biens auxquels ils ont vocation par rapport à la valeur de l'ensemble, lesdites valeurs résultant de la </w:t>
      </w:r>
      <w:r w:rsidRPr="00874A27">
        <w:rPr>
          <w:rFonts w:ascii="Arial" w:eastAsia="Times New Roman" w:hAnsi="Arial" w:cs="Arial"/>
          <w:color w:val="000000"/>
          <w:sz w:val="19"/>
          <w:szCs w:val="19"/>
          <w:lang w:eastAsia="fr-FR"/>
        </w:rPr>
        <w:lastRenderedPageBreak/>
        <w:t>consistance, de la superficie, de la situation et des possibilités d'utilisation des biens appréciées au jour de l'affectation à des groupes de droits sociaux déterminés.</w:t>
      </w:r>
      <w:r w:rsidRPr="00874A27">
        <w:rPr>
          <w:rFonts w:ascii="Arial" w:eastAsia="Times New Roman" w:hAnsi="Arial" w:cs="Arial"/>
          <w:color w:val="000000"/>
          <w:sz w:val="19"/>
          <w:szCs w:val="19"/>
          <w:lang w:eastAsia="fr-FR"/>
        </w:rPr>
        <w:br/>
        <w:t>« Art. L. 202-7.-Les associés sont tenus de participer aux charges entraînées par les services collectifs et les éléments d'équipement communs, en fonction de l'utilité relative que ces services et éléments présentent à l'égard de chaque lot mentionné à l'article L. 202-3.</w:t>
      </w:r>
      <w:r w:rsidRPr="00874A27">
        <w:rPr>
          <w:rFonts w:ascii="Arial" w:eastAsia="Times New Roman" w:hAnsi="Arial" w:cs="Arial"/>
          <w:color w:val="000000"/>
          <w:sz w:val="19"/>
          <w:szCs w:val="19"/>
          <w:lang w:eastAsia="fr-FR"/>
        </w:rPr>
        <w:br/>
        <w:t>« Ils sont tenus de participer aux charges relatives à la conservation, à l'entretien et à l'administration des parties communes et des espaces communs, proportionnellement aux valeurs relatives des parties privatives comprises dans leurs lots. Ces valeurs résultent de la consistance, de la superficie et de la situation des lots.</w:t>
      </w:r>
      <w:r w:rsidRPr="00874A27">
        <w:rPr>
          <w:rFonts w:ascii="Arial" w:eastAsia="Times New Roman" w:hAnsi="Arial" w:cs="Arial"/>
          <w:color w:val="000000"/>
          <w:sz w:val="19"/>
          <w:szCs w:val="19"/>
          <w:lang w:eastAsia="fr-FR"/>
        </w:rPr>
        <w:br/>
        <w:t>« Le règlement de copropriété ou le règlement en jouissance prévus à l'article L. 202-3 fixent la quote-part qui incombe à chaque lot dans chacune des catégories de charges ; à défaut, ils indiquent les bases selon lesquelles la répartition est faite pour une ou plusieurs catégories de charges.</w:t>
      </w:r>
      <w:r w:rsidRPr="00874A27">
        <w:rPr>
          <w:rFonts w:ascii="Arial" w:eastAsia="Times New Roman" w:hAnsi="Arial" w:cs="Arial"/>
          <w:color w:val="000000"/>
          <w:sz w:val="19"/>
          <w:szCs w:val="19"/>
          <w:lang w:eastAsia="fr-FR"/>
        </w:rPr>
        <w:br/>
        <w:t>« L'article L. 202-5 est applicable à l'exécution par les associés des obligations dont ils sont tenus envers la société en application du présent article.</w:t>
      </w:r>
      <w:r w:rsidRPr="00874A27">
        <w:rPr>
          <w:rFonts w:ascii="Arial" w:eastAsia="Times New Roman" w:hAnsi="Arial" w:cs="Arial"/>
          <w:color w:val="000000"/>
          <w:sz w:val="19"/>
          <w:szCs w:val="19"/>
          <w:lang w:eastAsia="fr-FR"/>
        </w:rPr>
        <w:br/>
        <w:t>« Un associé peut demander au juge la révision, pour l'avenir, de la répartition des charges visées au présent article si la part correspondant à son lot est supérieure de plus d'un quart ou si la part correspondant à un autre lot est inférieure de plus d'un quart, dans l'une ou l'autre des catégories de charges, à celle qui résulterait d'une répartition conforme au premier alinéa du présent article. Si l'action est reconnue fondée, le juge procède à la nouvelle répartition.</w:t>
      </w:r>
      <w:r w:rsidRPr="00874A27">
        <w:rPr>
          <w:rFonts w:ascii="Arial" w:eastAsia="Times New Roman" w:hAnsi="Arial" w:cs="Arial"/>
          <w:color w:val="000000"/>
          <w:sz w:val="19"/>
          <w:szCs w:val="19"/>
          <w:lang w:eastAsia="fr-FR"/>
        </w:rPr>
        <w:br/>
        <w:t>« Pour les décisions concernant la gestion ou l'entretien de l'immeuble, les associés votent en disposant d'un nombre de voix proportionnel à leur participation dans les dépenses qu'entraîne l'exécution de la décision, nonobstant toute disposition contraire. En outre, lorsque le règlement de copropriété ou en jouissance prévu à l'article L. 202-3 met à la charge de certains associés seulement les dépenses d'entretien d'une partie de l'immeuble ou celles d'entretien et de fonctionnement d'un élément d'équipement, seuls ces associés prennent part au vote sur les décisions qui concernent ces dépenses. Chacun d'eux vote en disposant d'un nombre de voix proportionnel à sa participation auxdites dépenses.</w:t>
      </w:r>
      <w:r w:rsidRPr="00874A27">
        <w:rPr>
          <w:rFonts w:ascii="Arial" w:eastAsia="Times New Roman" w:hAnsi="Arial" w:cs="Arial"/>
          <w:color w:val="000000"/>
          <w:sz w:val="19"/>
          <w:szCs w:val="19"/>
          <w:lang w:eastAsia="fr-FR"/>
        </w:rPr>
        <w:br/>
        <w:t>« L'assemblée générale des associés adopte une charte fixant les règles de fonctionnement de l'immeuble, et notamment les règles d'utilisation des lieux de vie collective mentionnés au 3° de l'article L. 202-2.</w:t>
      </w:r>
      <w:r w:rsidRPr="00874A27">
        <w:rPr>
          <w:rFonts w:ascii="Arial" w:eastAsia="Times New Roman" w:hAnsi="Arial" w:cs="Arial"/>
          <w:color w:val="000000"/>
          <w:sz w:val="19"/>
          <w:szCs w:val="19"/>
          <w:lang w:eastAsia="fr-FR"/>
        </w:rPr>
        <w:br/>
        <w:t>« Avant l'entrée dans les lieux, les locataires n'ayant pas la qualité d'associé signent cette charte, qui est annexée à leur contrat de bail.</w:t>
      </w:r>
      <w:r w:rsidRPr="00874A27">
        <w:rPr>
          <w:rFonts w:ascii="Arial" w:eastAsia="Times New Roman" w:hAnsi="Arial" w:cs="Arial"/>
          <w:color w:val="000000"/>
          <w:sz w:val="19"/>
          <w:szCs w:val="19"/>
          <w:lang w:eastAsia="fr-FR"/>
        </w:rPr>
        <w:br/>
        <w:t>« Art. L. 202-8.-Chaque associé dispose d'un nombre de voix qui est ainsi déterminé dans les statuts :</w:t>
      </w:r>
      <w:r w:rsidRPr="00874A27">
        <w:rPr>
          <w:rFonts w:ascii="Arial" w:eastAsia="Times New Roman" w:hAnsi="Arial" w:cs="Arial"/>
          <w:color w:val="000000"/>
          <w:sz w:val="19"/>
          <w:szCs w:val="19"/>
          <w:lang w:eastAsia="fr-FR"/>
        </w:rPr>
        <w:br/>
        <w:t>« 1° Soit chaque associé dispose d'un nombre de voix proportionnel au nombre de parts qu'il détient dans le capital social ;</w:t>
      </w:r>
      <w:r w:rsidRPr="00874A27">
        <w:rPr>
          <w:rFonts w:ascii="Arial" w:eastAsia="Times New Roman" w:hAnsi="Arial" w:cs="Arial"/>
          <w:color w:val="000000"/>
          <w:sz w:val="19"/>
          <w:szCs w:val="19"/>
          <w:lang w:eastAsia="fr-FR"/>
        </w:rPr>
        <w:br/>
        <w:t>« 2° Soit chaque associé dispose d'une voix.</w:t>
      </w:r>
      <w:r w:rsidRPr="00874A27">
        <w:rPr>
          <w:rFonts w:ascii="Arial" w:eastAsia="Times New Roman" w:hAnsi="Arial" w:cs="Arial"/>
          <w:color w:val="000000"/>
          <w:sz w:val="19"/>
          <w:szCs w:val="19"/>
          <w:lang w:eastAsia="fr-FR"/>
        </w:rPr>
        <w:br/>
        <w:t>« Art. L. 202-9.-I. ― Lorsque les statuts de la société prévoient des attributions en jouissance, nonobstant toute clause contraire des statuts, un associé peut se retirer d'une société d'attribution et d'autopromotion après autorisation de l'assemblée générale des associés.</w:t>
      </w:r>
      <w:r w:rsidRPr="00874A27">
        <w:rPr>
          <w:rFonts w:ascii="Arial" w:eastAsia="Times New Roman" w:hAnsi="Arial" w:cs="Arial"/>
          <w:color w:val="000000"/>
          <w:sz w:val="19"/>
          <w:szCs w:val="19"/>
          <w:lang w:eastAsia="fr-FR"/>
        </w:rPr>
        <w:br/>
        <w:t>« Toutefois, si l'associé démissionnaire présente un nouvel associé solvable et acceptant, cette autorisation ne peut être refusée que pour un motif sérieux et légitime. L'assemblée générale n'est pas tenue d'accepter comme associé la personne proposée par le démissionnaire et peut accepter sa démission en agréant une autre personne, sans avoir à motiver sa décision. En cas de refus injustifié de la démission, celle-ci peut être autorisée par le juge, saisi dans le délai d'un mois à compter de la notification du refus.</w:t>
      </w:r>
      <w:r w:rsidRPr="00874A27">
        <w:rPr>
          <w:rFonts w:ascii="Arial" w:eastAsia="Times New Roman" w:hAnsi="Arial" w:cs="Arial"/>
          <w:color w:val="000000"/>
          <w:sz w:val="19"/>
          <w:szCs w:val="19"/>
          <w:lang w:eastAsia="fr-FR"/>
        </w:rPr>
        <w:br/>
        <w:t>« Le retrait d'un associé n'entraîne pas l'annulation de ses parts ou actions.</w:t>
      </w:r>
      <w:r w:rsidRPr="00874A27">
        <w:rPr>
          <w:rFonts w:ascii="Arial" w:eastAsia="Times New Roman" w:hAnsi="Arial" w:cs="Arial"/>
          <w:color w:val="000000"/>
          <w:sz w:val="19"/>
          <w:szCs w:val="19"/>
          <w:lang w:eastAsia="fr-FR"/>
        </w:rPr>
        <w:br/>
        <w:t>« II. ― Lorsque les statuts de la société prévoient des attributions en propriété, un associé peut se retirer de la société dès qu'une assemblée générale ordinaire a constaté l'achèvement de l'immeuble et sa conformité aux énonciations de l'état descriptif et a adopté les comptes définitifs de l'opération de construction. A défaut de vote de l'assemblée générale, tout associé peut demander au juge de procéder aux constatations et décisions susmentionnées.</w:t>
      </w:r>
      <w:r w:rsidRPr="00874A27">
        <w:rPr>
          <w:rFonts w:ascii="Arial" w:eastAsia="Times New Roman" w:hAnsi="Arial" w:cs="Arial"/>
          <w:color w:val="000000"/>
          <w:sz w:val="19"/>
          <w:szCs w:val="19"/>
          <w:lang w:eastAsia="fr-FR"/>
        </w:rPr>
        <w:br/>
        <w:t>« Le retrait est constaté par acte authentique signé par l'associé qui se retire et un représentant de l'organe de gestion ou, en cas de refus de ce dernier, par ordonnance rendue en référé.</w:t>
      </w:r>
      <w:r w:rsidRPr="00874A27">
        <w:rPr>
          <w:rFonts w:ascii="Arial" w:eastAsia="Times New Roman" w:hAnsi="Arial" w:cs="Arial"/>
          <w:color w:val="000000"/>
          <w:sz w:val="19"/>
          <w:szCs w:val="19"/>
          <w:lang w:eastAsia="fr-FR"/>
        </w:rPr>
        <w:br/>
        <w:t>« Le retrait entraîne de plein droit l'annulation des parts ou actions correspondant aux lots attribués en propriété et la réduction corrélative du capital social. L'organe de gestion constate la réduction du capital et apporte aux statuts les modifications nécessaires.</w:t>
      </w:r>
      <w:r w:rsidRPr="00874A27">
        <w:rPr>
          <w:rFonts w:ascii="Arial" w:eastAsia="Times New Roman" w:hAnsi="Arial" w:cs="Arial"/>
          <w:color w:val="000000"/>
          <w:sz w:val="19"/>
          <w:szCs w:val="19"/>
          <w:lang w:eastAsia="fr-FR"/>
        </w:rPr>
        <w:br/>
        <w:t>« Le troisième alinéa du présent II demeure applicable après dissolution de la société. Les pouvoirs dévolus par ce même alinéa à l'organe de gestion sont alors exercés par le ou les liquidateurs.</w:t>
      </w:r>
      <w:r w:rsidRPr="00874A27">
        <w:rPr>
          <w:rFonts w:ascii="Arial" w:eastAsia="Times New Roman" w:hAnsi="Arial" w:cs="Arial"/>
          <w:color w:val="000000"/>
          <w:sz w:val="19"/>
          <w:szCs w:val="19"/>
          <w:lang w:eastAsia="fr-FR"/>
        </w:rPr>
        <w:br/>
        <w:t>« III. ― Pour l'application du présent article, tout associé est réputé avoir fait élection de domicile en l'immeuble social, à moins qu'il n'ait notifié à la société une autre élection de domicile dans le ressort du tribunal de grande instance du lieu de la situation de l'immeuble.</w:t>
      </w:r>
      <w:r w:rsidRPr="00874A27">
        <w:rPr>
          <w:rFonts w:ascii="Arial" w:eastAsia="Times New Roman" w:hAnsi="Arial" w:cs="Arial"/>
          <w:color w:val="000000"/>
          <w:sz w:val="19"/>
          <w:szCs w:val="19"/>
          <w:lang w:eastAsia="fr-FR"/>
        </w:rPr>
        <w:br/>
        <w:t>« Sauf l'effet des sûretés réelles dont ils seraient bénéficiaires, les créanciers de la société ne peuvent exercer leurs droits contre un ancien associé attributaire par voie de retrait ou de partage, ou à l'encontre de ses ayants cause, qu'après discussion préalable des biens restant appartenir à la société.</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IV. ― L'exclusion d'un associé ne peut être prononcée par l'assemblée générale que pour un motif sérieux et légitime. L'associé exclu dispose d'un recours devant le juge dans le délai d'un mois à compter du jour où il a reçu notification de cette décision. Le jugement est exécutoire par provision. Le présent alinéa n'est pas applicable dans le cas prévu au deuxième alinéa de l'article L. 202-5.</w:t>
      </w:r>
      <w:r w:rsidRPr="00874A27">
        <w:rPr>
          <w:rFonts w:ascii="Arial" w:eastAsia="Times New Roman" w:hAnsi="Arial" w:cs="Arial"/>
          <w:color w:val="000000"/>
          <w:sz w:val="19"/>
          <w:szCs w:val="19"/>
          <w:lang w:eastAsia="fr-FR"/>
        </w:rPr>
        <w:br/>
        <w:t>« Les sommes versées par l'associé démissionnaire ou l'associé exclu, tant au titre de la libération de ses parts sociales ou actions qu'au titre du contrat de vente de l'immeuble à construire si ce contrat a été passé, sont remboursées à cet associé, après déduction des charges et frais occasionnés à la société par la démission ou l'exclusion de l'associé. L'appréciation du montant de ces charges et frais peut faire l'objet d'une évaluation forfaitaire faite par les statuts, dans les limites fixées par décret en Conseil d'Etat.</w:t>
      </w:r>
      <w:r w:rsidRPr="00874A27">
        <w:rPr>
          <w:rFonts w:ascii="Arial" w:eastAsia="Times New Roman" w:hAnsi="Arial" w:cs="Arial"/>
          <w:color w:val="000000"/>
          <w:sz w:val="19"/>
          <w:szCs w:val="19"/>
          <w:lang w:eastAsia="fr-FR"/>
        </w:rPr>
        <w:br/>
        <w:t>« Art. L. 202-10.-La dissolution de la société peut, nonobstant toute disposition contraire des statuts, et même si ceux-ci prévoient des attributions en jouissance, être décidée par l'assemblée générale statuant à la double majorité des deux tiers des associés et des deux tiers des voix.</w:t>
      </w:r>
      <w:r w:rsidRPr="00874A27">
        <w:rPr>
          <w:rFonts w:ascii="Arial" w:eastAsia="Times New Roman" w:hAnsi="Arial" w:cs="Arial"/>
          <w:color w:val="000000"/>
          <w:sz w:val="19"/>
          <w:szCs w:val="19"/>
          <w:lang w:eastAsia="fr-FR"/>
        </w:rPr>
        <w:br/>
        <w:t>« L'assemblée générale désigne un ou plusieurs liquidateurs chargés de gérer la société pendant la période de liquidation et de procéder au partage.</w:t>
      </w:r>
      <w:r w:rsidRPr="00874A27">
        <w:rPr>
          <w:rFonts w:ascii="Arial" w:eastAsia="Times New Roman" w:hAnsi="Arial" w:cs="Arial"/>
          <w:color w:val="000000"/>
          <w:sz w:val="19"/>
          <w:szCs w:val="19"/>
          <w:lang w:eastAsia="fr-FR"/>
        </w:rPr>
        <w:br/>
        <w:t>« Ce partage ne peut intervenir qu'après décision définitive sur les comptes de l'opération de construction dans les conditions prévues au sixième alinéa du présent article. Il doit comporter des attributions de fractions d'immeubles et une répartition du passif conformes aux dispositions statutaires et à l'état descriptif de division.</w:t>
      </w:r>
      <w:r w:rsidRPr="00874A27">
        <w:rPr>
          <w:rFonts w:ascii="Arial" w:eastAsia="Times New Roman" w:hAnsi="Arial" w:cs="Arial"/>
          <w:color w:val="000000"/>
          <w:sz w:val="19"/>
          <w:szCs w:val="19"/>
          <w:lang w:eastAsia="fr-FR"/>
        </w:rPr>
        <w:br/>
        <w:t>« Dans le cas où la succession d'un associé n'est pas encore liquidée, les droits et les charges propres au défunt sont attribués indivisément au nom de ses ayants droit et cette attribution n'entraîne pas, de leur part, acceptation de la succession ou de la donation.</w:t>
      </w:r>
      <w:r w:rsidRPr="00874A27">
        <w:rPr>
          <w:rFonts w:ascii="Arial" w:eastAsia="Times New Roman" w:hAnsi="Arial" w:cs="Arial"/>
          <w:color w:val="000000"/>
          <w:sz w:val="19"/>
          <w:szCs w:val="19"/>
          <w:lang w:eastAsia="fr-FR"/>
        </w:rPr>
        <w:br/>
        <w:t>« Les associés qui n'ont pas satisfait aux obligations auxquelles ils sont tenus envers la société ne peuvent, conformément à l'article L. 202-5, prétendre à aucune attribution tant qu'ils ne se sont pas acquittés de leurs obligations. Dans ce cas, le partage est limité aux associés dont la situation est régulière.</w:t>
      </w:r>
      <w:r w:rsidRPr="00874A27">
        <w:rPr>
          <w:rFonts w:ascii="Arial" w:eastAsia="Times New Roman" w:hAnsi="Arial" w:cs="Arial"/>
          <w:color w:val="000000"/>
          <w:sz w:val="19"/>
          <w:szCs w:val="19"/>
          <w:lang w:eastAsia="fr-FR"/>
        </w:rPr>
        <w:br/>
        <w:t>« Le liquidateur fait établir le projet de partage en la forme authentique. Les associés sont invités, au besoin par sommation du liquidateur, à prendre connaissance du projet de partage et à l'approuver ou à le contester en la forme authentique.</w:t>
      </w:r>
      <w:r w:rsidRPr="00874A27">
        <w:rPr>
          <w:rFonts w:ascii="Arial" w:eastAsia="Times New Roman" w:hAnsi="Arial" w:cs="Arial"/>
          <w:color w:val="000000"/>
          <w:sz w:val="19"/>
          <w:szCs w:val="19"/>
          <w:lang w:eastAsia="fr-FR"/>
        </w:rPr>
        <w:br/>
        <w:t>« Les associés qui contestent alors le partage disposent d'un délai de quinze jours pour assigner le liquidateur en rectification devant le tribunal compétent. Les attributions devenues définitives sont opposables aux associés non présents ou représentés, absents ou incapables.</w:t>
      </w:r>
      <w:r w:rsidRPr="00874A27">
        <w:rPr>
          <w:rFonts w:ascii="Arial" w:eastAsia="Times New Roman" w:hAnsi="Arial" w:cs="Arial"/>
          <w:color w:val="000000"/>
          <w:sz w:val="19"/>
          <w:szCs w:val="19"/>
          <w:lang w:eastAsia="fr-FR"/>
        </w:rPr>
        <w:br/>
        <w:t>« La publication au fichier immobilier est faite à la diligence du liquidateur.</w:t>
      </w:r>
      <w:r w:rsidRPr="00874A27">
        <w:rPr>
          <w:rFonts w:ascii="Arial" w:eastAsia="Times New Roman" w:hAnsi="Arial" w:cs="Arial"/>
          <w:color w:val="000000"/>
          <w:sz w:val="19"/>
          <w:szCs w:val="19"/>
          <w:lang w:eastAsia="fr-FR"/>
        </w:rPr>
        <w:br/>
        <w:t>« Art. L. 202-11.-La société peut donner caution pour la garantie des emprunts contractés par les associés, pour leur permettre de satisfaire aux appels de fonds de la société nécessaires à la réalisation de l'objet social, et par les cessionnaires des parts sociales, pour leur permettre de payer leur prix de cession, mais seulement à concurrence des appels de fonds déjà réglés à la société, et, s'il y a lieu, de payer les appels de fonds qui restent encore à régler.</w:t>
      </w:r>
      <w:r w:rsidRPr="00874A27">
        <w:rPr>
          <w:rFonts w:ascii="Arial" w:eastAsia="Times New Roman" w:hAnsi="Arial" w:cs="Arial"/>
          <w:color w:val="000000"/>
          <w:sz w:val="19"/>
          <w:szCs w:val="19"/>
          <w:lang w:eastAsia="fr-FR"/>
        </w:rPr>
        <w:br/>
        <w:t>« La caution hypothécaire doit être autorisée par les statuts, avec stipulation que l'engagement de la société est strictement limité aux parties divises et indivises de l'immeuble social auxquelles le bénéficiaire du crédit aura vocation en propriété, à l'issue d'un retrait ou d'une dissolution.</w:t>
      </w:r>
      <w:r w:rsidRPr="00874A27">
        <w:rPr>
          <w:rFonts w:ascii="Arial" w:eastAsia="Times New Roman" w:hAnsi="Arial" w:cs="Arial"/>
          <w:color w:val="000000"/>
          <w:sz w:val="19"/>
          <w:szCs w:val="19"/>
          <w:lang w:eastAsia="fr-FR"/>
        </w:rPr>
        <w:br/>
        <w:t>« La saisie du gage vaut retrait de l'associé titulaire des droits sociaux correspondant aux biens saisis et ne peut être effectuée que lorsque sont réunies les conditions auxquelles un tel retrait est subordonné.</w:t>
      </w:r>
      <w:r w:rsidRPr="00874A27">
        <w:rPr>
          <w:rFonts w:ascii="Arial" w:eastAsia="Times New Roman" w:hAnsi="Arial" w:cs="Arial"/>
          <w:color w:val="000000"/>
          <w:sz w:val="19"/>
          <w:szCs w:val="19"/>
          <w:lang w:eastAsia="fr-FR"/>
        </w:rPr>
        <w:br/>
        <w:t>« Dans les sociétés ne prévoyant que des attributions en jouissance, la société peut, dans les conditions précitées, se porter caution hypothécaire des associés. La saisie ne peut intervenir que si aucun cessionnaire n'a pu être trouvé, à l'amiable ou, le cas échéant, après réalisation du nantissement des parts sociales. Elle vaut retrait de l'associé titulaire des droits sociaux correspondant aux biens saisis et ne peut être effectuée que lorsque sont réunies les conditions auxquelles un tel retrait est subordonné.</w:t>
      </w:r>
      <w:r w:rsidRPr="00874A27">
        <w:rPr>
          <w:rFonts w:ascii="Arial" w:eastAsia="Times New Roman" w:hAnsi="Arial" w:cs="Arial"/>
          <w:color w:val="000000"/>
          <w:sz w:val="19"/>
          <w:szCs w:val="19"/>
          <w:lang w:eastAsia="fr-FR"/>
        </w:rPr>
        <w:br/>
        <w:t>« Les conditions de mise en œuvre du présent article sont définies par décret en Conseil d'Etat.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47" w:name="JORFARTI000028772676"/>
      <w:bookmarkEnd w:id="47"/>
      <w:r w:rsidRPr="00874A27">
        <w:rPr>
          <w:rFonts w:ascii="Arial" w:eastAsia="Times New Roman" w:hAnsi="Arial" w:cs="Arial"/>
          <w:b/>
          <w:bCs/>
          <w:color w:val="000000"/>
          <w:sz w:val="23"/>
          <w:szCs w:val="23"/>
          <w:lang w:eastAsia="fr-FR"/>
        </w:rPr>
        <w:t>Article 48 </w:t>
      </w:r>
      <w:hyperlink r:id="rId213" w:tooltip="En savoir plus sur l'article 4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le troisième alinéa de l'article L. 633-2 du même code, sont insérés quatre alinéas ainsi rédigés :</w:t>
      </w:r>
      <w:r w:rsidRPr="00874A27">
        <w:rPr>
          <w:rFonts w:ascii="Arial" w:eastAsia="Times New Roman" w:hAnsi="Arial" w:cs="Arial"/>
          <w:color w:val="000000"/>
          <w:sz w:val="19"/>
          <w:szCs w:val="19"/>
          <w:lang w:eastAsia="fr-FR"/>
        </w:rPr>
        <w:br/>
        <w:t>« Les clauses du contrat et du règlement intérieur instituant des limitations à la jouissance à titre privé du local privatif constituant un domicile, autres que celles fixées par la législation en vigueur, sont réputées non écrites.</w:t>
      </w:r>
      <w:r w:rsidRPr="00874A27">
        <w:rPr>
          <w:rFonts w:ascii="Arial" w:eastAsia="Times New Roman" w:hAnsi="Arial" w:cs="Arial"/>
          <w:color w:val="000000"/>
          <w:sz w:val="19"/>
          <w:szCs w:val="19"/>
          <w:lang w:eastAsia="fr-FR"/>
        </w:rPr>
        <w:br/>
        <w:t>« Le gestionnaire ne peut accéder au local privatif du résident qu'à la condition d'en avoir fait la demande préalable et dans les conditions prévues par le règlement intérieur.</w:t>
      </w:r>
      <w:r w:rsidRPr="00874A27">
        <w:rPr>
          <w:rFonts w:ascii="Arial" w:eastAsia="Times New Roman" w:hAnsi="Arial" w:cs="Arial"/>
          <w:color w:val="000000"/>
          <w:sz w:val="19"/>
          <w:szCs w:val="19"/>
          <w:lang w:eastAsia="fr-FR"/>
        </w:rPr>
        <w:br/>
        <w:t xml:space="preserve">« Le gestionnaire peut toutefois accéder au local privatif du résident dans les conditions prévues pour la mise en œuvre de l'accompagnement personnalisé défini dans le contrat de séjour conclu entre le </w:t>
      </w:r>
      <w:r w:rsidRPr="00874A27">
        <w:rPr>
          <w:rFonts w:ascii="Arial" w:eastAsia="Times New Roman" w:hAnsi="Arial" w:cs="Arial"/>
          <w:color w:val="000000"/>
          <w:sz w:val="19"/>
          <w:szCs w:val="19"/>
          <w:lang w:eastAsia="fr-FR"/>
        </w:rPr>
        <w:lastRenderedPageBreak/>
        <w:t>résident et le gestionnaire en application de l'article L. 311-4 du code de l'action sociale et des familles.</w:t>
      </w:r>
      <w:r w:rsidRPr="00874A27">
        <w:rPr>
          <w:rFonts w:ascii="Arial" w:eastAsia="Times New Roman" w:hAnsi="Arial" w:cs="Arial"/>
          <w:color w:val="000000"/>
          <w:sz w:val="19"/>
          <w:szCs w:val="19"/>
          <w:lang w:eastAsia="fr-FR"/>
        </w:rPr>
        <w:br/>
        <w:t>« En cas d'urgence motivée par la sécurité immédiate de l'immeuble ou des personnes, le gestionnaire peut accéder sans autorisation préalable au local privatif du résident. Il en tient informé ce dernier par écrit dans les meilleurs délais.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48" w:name="JORFARTI000028772678"/>
      <w:bookmarkEnd w:id="48"/>
      <w:r w:rsidRPr="00874A27">
        <w:rPr>
          <w:rFonts w:ascii="Arial" w:eastAsia="Times New Roman" w:hAnsi="Arial" w:cs="Arial"/>
          <w:b/>
          <w:bCs/>
          <w:color w:val="000000"/>
          <w:sz w:val="23"/>
          <w:szCs w:val="23"/>
          <w:lang w:eastAsia="fr-FR"/>
        </w:rPr>
        <w:t>Article 49 </w:t>
      </w:r>
      <w:hyperlink r:id="rId214" w:tooltip="En savoir plus sur l'article 4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633-4 du même code est ainsi rédigé :</w:t>
      </w:r>
      <w:r w:rsidRPr="00874A27">
        <w:rPr>
          <w:rFonts w:ascii="Arial" w:eastAsia="Times New Roman" w:hAnsi="Arial" w:cs="Arial"/>
          <w:color w:val="000000"/>
          <w:sz w:val="19"/>
          <w:szCs w:val="19"/>
          <w:lang w:eastAsia="fr-FR"/>
        </w:rPr>
        <w:br/>
        <w:t>« Art. L. 633-4.-Dans chaque établissement, défini à l'article L. 633-1, sont créés un conseil de concertation et un comité de résidents.</w:t>
      </w:r>
      <w:r w:rsidRPr="00874A27">
        <w:rPr>
          <w:rFonts w:ascii="Arial" w:eastAsia="Times New Roman" w:hAnsi="Arial" w:cs="Arial"/>
          <w:color w:val="000000"/>
          <w:sz w:val="19"/>
          <w:szCs w:val="19"/>
          <w:lang w:eastAsia="fr-FR"/>
        </w:rPr>
        <w:br/>
        <w:t>« Le conseil de concertation est composé de représentants du gestionnaire et, s'il est distinct du gestionnaire, du propriétaire et, en nombre au moins égal, de représentants des personnes logées désignés par le comité de résidents du foyer concerné. Le conseil se réunit à la demande du propriétaire, du gestionnaire ou des représentants des personnes logées, au moins une fois par an.</w:t>
      </w:r>
      <w:r w:rsidRPr="00874A27">
        <w:rPr>
          <w:rFonts w:ascii="Arial" w:eastAsia="Times New Roman" w:hAnsi="Arial" w:cs="Arial"/>
          <w:color w:val="000000"/>
          <w:sz w:val="19"/>
          <w:szCs w:val="19"/>
          <w:lang w:eastAsia="fr-FR"/>
        </w:rPr>
        <w:br/>
        <w:t>« Les membres du conseil sont consultés notamment sur l'élaboration et la révision du règlement intérieur, préalablement à la réalisation de travaux, et sur tout projet et organisation, dont la gestion des espaces communs, susceptibles d'avoir une incidence sur les conditions de logement et de vie des occupants.</w:t>
      </w:r>
      <w:r w:rsidRPr="00874A27">
        <w:rPr>
          <w:rFonts w:ascii="Arial" w:eastAsia="Times New Roman" w:hAnsi="Arial" w:cs="Arial"/>
          <w:color w:val="000000"/>
          <w:sz w:val="19"/>
          <w:szCs w:val="19"/>
          <w:lang w:eastAsia="fr-FR"/>
        </w:rPr>
        <w:br/>
        <w:t>« Le comité de résidents est élu par l'ensemble des résidents du foyer pour une période définie par le règlement intérieur et maximale de trois ans. Il est constitué exclusivement de résidents titulaires d'un contrat mentionné à l'article L. 633-2 et logés à titre de résidence principale dans le foyer dans lequel ce comité est mis en place.</w:t>
      </w:r>
      <w:r w:rsidRPr="00874A27">
        <w:rPr>
          <w:rFonts w:ascii="Arial" w:eastAsia="Times New Roman" w:hAnsi="Arial" w:cs="Arial"/>
          <w:color w:val="000000"/>
          <w:sz w:val="19"/>
          <w:szCs w:val="19"/>
          <w:lang w:eastAsia="fr-FR"/>
        </w:rPr>
        <w:br/>
        <w:t>« Le comité de résidents représente les personnes logées dans le foyer au sein du conseil de concertation dans leurs relations avec le gestionnaire et le propriétaire de l'établissement, s'il est distinct du gestionnaire. Il désigne en son sein ses représentants qui siègent au conseil de concertation.</w:t>
      </w:r>
      <w:r w:rsidRPr="00874A27">
        <w:rPr>
          <w:rFonts w:ascii="Arial" w:eastAsia="Times New Roman" w:hAnsi="Arial" w:cs="Arial"/>
          <w:color w:val="000000"/>
          <w:sz w:val="19"/>
          <w:szCs w:val="19"/>
          <w:lang w:eastAsia="fr-FR"/>
        </w:rPr>
        <w:br/>
        <w:t>« Les modalités de fonctionnement et de désignation des membres du comité de résidents sont fixées par décret.</w:t>
      </w:r>
      <w:r w:rsidRPr="00874A27">
        <w:rPr>
          <w:rFonts w:ascii="Arial" w:eastAsia="Times New Roman" w:hAnsi="Arial" w:cs="Arial"/>
          <w:color w:val="000000"/>
          <w:sz w:val="19"/>
          <w:szCs w:val="19"/>
          <w:lang w:eastAsia="fr-FR"/>
        </w:rPr>
        <w:br/>
        <w:t>« Le gestionnaire met à la disposition du comité de résidents un local pour ses réunions selon les modalités définies par le conseil de concertation. Pour ces mêmes réunions, le gestionnaire donne accès à des moyens de communication adaptés. »</w:t>
      </w:r>
      <w:r w:rsidRPr="00874A27">
        <w:rPr>
          <w:rFonts w:ascii="Arial" w:eastAsia="Times New Roman" w:hAnsi="Arial" w:cs="Arial"/>
          <w:color w:val="000000"/>
          <w:sz w:val="19"/>
          <w:szCs w:val="19"/>
          <w:lang w:eastAsia="fr-FR"/>
        </w:rPr>
        <w:br/>
        <w:t>II.-Les comités de résidents sont mis en place dans un délai d'un an à compter de la publication de la présente loi.</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49" w:name="JORFARTI000028772681"/>
      <w:bookmarkEnd w:id="49"/>
      <w:r w:rsidRPr="00874A27">
        <w:rPr>
          <w:rFonts w:ascii="Arial" w:eastAsia="Times New Roman" w:hAnsi="Arial" w:cs="Arial"/>
          <w:b/>
          <w:bCs/>
          <w:color w:val="000000"/>
          <w:sz w:val="23"/>
          <w:szCs w:val="23"/>
          <w:lang w:eastAsia="fr-FR"/>
        </w:rPr>
        <w:t>Article 50 </w:t>
      </w:r>
      <w:hyperlink r:id="rId215" w:tooltip="En savoir plus sur l'article 5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I.-La loi n° 86-18 du 6 janvier 1986 relative aux sociétés d'attribution d'immeubles en jouissance à temps partagé est ainsi modifiée :</w:t>
      </w:r>
      <w:r w:rsidRPr="00874A27">
        <w:rPr>
          <w:rFonts w:ascii="Arial" w:eastAsia="Times New Roman" w:hAnsi="Arial" w:cs="Arial"/>
          <w:color w:val="000000"/>
          <w:sz w:val="19"/>
          <w:szCs w:val="19"/>
          <w:lang w:eastAsia="fr-FR"/>
        </w:rPr>
        <w:br/>
        <w:t>1° L'article 13 est ainsi modifié :</w:t>
      </w:r>
      <w:r w:rsidRPr="00874A27">
        <w:rPr>
          <w:rFonts w:ascii="Arial" w:eastAsia="Times New Roman" w:hAnsi="Arial" w:cs="Arial"/>
          <w:color w:val="000000"/>
          <w:sz w:val="19"/>
          <w:szCs w:val="19"/>
          <w:lang w:eastAsia="fr-FR"/>
        </w:rPr>
        <w:br/>
        <w:t>a) Le troisième alinéa est complété par une phrase ainsi rédigée :</w:t>
      </w:r>
      <w:r w:rsidRPr="00874A27">
        <w:rPr>
          <w:rFonts w:ascii="Arial" w:eastAsia="Times New Roman" w:hAnsi="Arial" w:cs="Arial"/>
          <w:color w:val="000000"/>
          <w:sz w:val="19"/>
          <w:szCs w:val="19"/>
          <w:lang w:eastAsia="fr-FR"/>
        </w:rPr>
        <w:br/>
        <w:t>« L'assemblée est réunie dans le même délai à la demande du conseil de surveillance. » ;</w:t>
      </w:r>
      <w:r w:rsidRPr="00874A27">
        <w:rPr>
          <w:rFonts w:ascii="Arial" w:eastAsia="Times New Roman" w:hAnsi="Arial" w:cs="Arial"/>
          <w:color w:val="000000"/>
          <w:sz w:val="19"/>
          <w:szCs w:val="19"/>
          <w:lang w:eastAsia="fr-FR"/>
        </w:rPr>
        <w:br/>
        <w:t>b) Après le même alinéa, il est inséré un alinéa ainsi rédigé :</w:t>
      </w:r>
      <w:r w:rsidRPr="00874A27">
        <w:rPr>
          <w:rFonts w:ascii="Arial" w:eastAsia="Times New Roman" w:hAnsi="Arial" w:cs="Arial"/>
          <w:color w:val="000000"/>
          <w:sz w:val="19"/>
          <w:szCs w:val="19"/>
          <w:lang w:eastAsia="fr-FR"/>
        </w:rPr>
        <w:br/>
        <w:t>« L'ordre du jour de l'assemblée générale est établi en concertation avec le conseil de surveillance, qui peut demander l'inscription d'une ou de plusieurs questions à l'ordre du jour. » ;</w:t>
      </w:r>
      <w:r w:rsidRPr="00874A27">
        <w:rPr>
          <w:rFonts w:ascii="Arial" w:eastAsia="Times New Roman" w:hAnsi="Arial" w:cs="Arial"/>
          <w:color w:val="000000"/>
          <w:sz w:val="19"/>
          <w:szCs w:val="19"/>
          <w:lang w:eastAsia="fr-FR"/>
        </w:rPr>
        <w:br/>
        <w:t>c) A la troisième phrase de l'avant-dernier alinéa, après le mot : « jour », sont insérés les mots : « et comporter la reproduction du dernier alinéa du présent article » ;</w:t>
      </w:r>
      <w:r w:rsidRPr="00874A27">
        <w:rPr>
          <w:rFonts w:ascii="Arial" w:eastAsia="Times New Roman" w:hAnsi="Arial" w:cs="Arial"/>
          <w:color w:val="000000"/>
          <w:sz w:val="19"/>
          <w:szCs w:val="19"/>
          <w:lang w:eastAsia="fr-FR"/>
        </w:rPr>
        <w:br/>
        <w:t>d) A la dernière phrase du dernier alinéa, après le mot : « effectué », sont insérés les mots : « dans le délai maximal de sept jours à compter de la réception de la demande » ;</w:t>
      </w:r>
      <w:r w:rsidRPr="00874A27">
        <w:rPr>
          <w:rFonts w:ascii="Arial" w:eastAsia="Times New Roman" w:hAnsi="Arial" w:cs="Arial"/>
          <w:color w:val="000000"/>
          <w:sz w:val="19"/>
          <w:szCs w:val="19"/>
          <w:lang w:eastAsia="fr-FR"/>
        </w:rPr>
        <w:br/>
        <w:t>2° Au dernier alinéa de l'article 15, le mot : « quatrième » est remplacé par le mot : « cinquième » ;</w:t>
      </w:r>
      <w:r w:rsidRPr="00874A27">
        <w:rPr>
          <w:rFonts w:ascii="Arial" w:eastAsia="Times New Roman" w:hAnsi="Arial" w:cs="Arial"/>
          <w:color w:val="000000"/>
          <w:sz w:val="19"/>
          <w:szCs w:val="19"/>
          <w:lang w:eastAsia="fr-FR"/>
        </w:rPr>
        <w:br/>
        <w:t>3° Le second alinéa de l'article 17 est ainsi modifié :</w:t>
      </w:r>
      <w:r w:rsidRPr="00874A27">
        <w:rPr>
          <w:rFonts w:ascii="Arial" w:eastAsia="Times New Roman" w:hAnsi="Arial" w:cs="Arial"/>
          <w:color w:val="000000"/>
          <w:sz w:val="19"/>
          <w:szCs w:val="19"/>
          <w:lang w:eastAsia="fr-FR"/>
        </w:rPr>
        <w:br/>
        <w:t>a) Après la première occurrence du mot : « syndicat, », sont insérés les mots : « nonobstant toutes dispositions contraires des statuts, » ;</w:t>
      </w:r>
      <w:r w:rsidRPr="00874A27">
        <w:rPr>
          <w:rFonts w:ascii="Arial" w:eastAsia="Times New Roman" w:hAnsi="Arial" w:cs="Arial"/>
          <w:color w:val="000000"/>
          <w:sz w:val="19"/>
          <w:szCs w:val="19"/>
          <w:lang w:eastAsia="fr-FR"/>
        </w:rPr>
        <w:br/>
        <w:t>b) Après le mot : « désignée », sont insérés les mots : « chaque année » ;</w:t>
      </w:r>
      <w:r w:rsidRPr="00874A27">
        <w:rPr>
          <w:rFonts w:ascii="Arial" w:eastAsia="Times New Roman" w:hAnsi="Arial" w:cs="Arial"/>
          <w:color w:val="000000"/>
          <w:sz w:val="19"/>
          <w:szCs w:val="19"/>
          <w:lang w:eastAsia="fr-FR"/>
        </w:rPr>
        <w:br/>
        <w:t>c) Sont ajoutés les mots et une phrase ainsi rédigée : « appelée à approuver les comptes sociaux. Cette personne rend compte aux associés des décisions prises par le syndicat de copropriété lors de la première assemblée générale tenue après l'assemblée du syndicat. » ;</w:t>
      </w:r>
      <w:r w:rsidRPr="00874A27">
        <w:rPr>
          <w:rFonts w:ascii="Arial" w:eastAsia="Times New Roman" w:hAnsi="Arial" w:cs="Arial"/>
          <w:color w:val="000000"/>
          <w:sz w:val="19"/>
          <w:szCs w:val="19"/>
          <w:lang w:eastAsia="fr-FR"/>
        </w:rPr>
        <w:br/>
        <w:t>4° L'article 18 est ainsi modifié :</w:t>
      </w:r>
      <w:r w:rsidRPr="00874A27">
        <w:rPr>
          <w:rFonts w:ascii="Arial" w:eastAsia="Times New Roman" w:hAnsi="Arial" w:cs="Arial"/>
          <w:color w:val="000000"/>
          <w:sz w:val="19"/>
          <w:szCs w:val="19"/>
          <w:lang w:eastAsia="fr-FR"/>
        </w:rPr>
        <w:br/>
        <w:t>a) Le premier alinéa est complété par quatre phrases ainsi rédigées :</w:t>
      </w:r>
      <w:r w:rsidRPr="00874A27">
        <w:rPr>
          <w:rFonts w:ascii="Arial" w:eastAsia="Times New Roman" w:hAnsi="Arial" w:cs="Arial"/>
          <w:color w:val="000000"/>
          <w:sz w:val="19"/>
          <w:szCs w:val="19"/>
          <w:lang w:eastAsia="fr-FR"/>
        </w:rPr>
        <w:br/>
        <w:t xml:space="preserve">« Nonobstant toutes dispositions contraires des statuts, les membres du conseil de surveillance sont nommés pour un mandat d'une durée maximale de trois ans renouvelable. Ils sont révocables par </w:t>
      </w:r>
      <w:r w:rsidRPr="00874A27">
        <w:rPr>
          <w:rFonts w:ascii="Arial" w:eastAsia="Times New Roman" w:hAnsi="Arial" w:cs="Arial"/>
          <w:color w:val="000000"/>
          <w:sz w:val="19"/>
          <w:szCs w:val="19"/>
          <w:lang w:eastAsia="fr-FR"/>
        </w:rPr>
        <w:lastRenderedPageBreak/>
        <w:t>l'assemblée générale. Le conseil de surveillance élit son président parmi ses membres. A moins que les statuts n'aient fixé les règles relatives à l'organisation et au fonctionnement du conseil de surveillance, ces règles sont fixées par l'assemblée générale. » ;</w:t>
      </w:r>
      <w:r w:rsidRPr="00874A27">
        <w:rPr>
          <w:rFonts w:ascii="Arial" w:eastAsia="Times New Roman" w:hAnsi="Arial" w:cs="Arial"/>
          <w:color w:val="000000"/>
          <w:sz w:val="19"/>
          <w:szCs w:val="19"/>
          <w:lang w:eastAsia="fr-FR"/>
        </w:rPr>
        <w:br/>
        <w:t>b) Les deux derniers alinéas sont ainsi rédigés :</w:t>
      </w:r>
      <w:r w:rsidRPr="00874A27">
        <w:rPr>
          <w:rFonts w:ascii="Arial" w:eastAsia="Times New Roman" w:hAnsi="Arial" w:cs="Arial"/>
          <w:color w:val="000000"/>
          <w:sz w:val="19"/>
          <w:szCs w:val="19"/>
          <w:lang w:eastAsia="fr-FR"/>
        </w:rPr>
        <w:br/>
        <w:t>« Il peut prendre connaissance et copie, à sa demande et après en avoir avisé la société, de toutes pièces, documents, correspondance ou registres se rapportant à la gestion de la société.</w:t>
      </w:r>
      <w:r w:rsidRPr="00874A27">
        <w:rPr>
          <w:rFonts w:ascii="Arial" w:eastAsia="Times New Roman" w:hAnsi="Arial" w:cs="Arial"/>
          <w:color w:val="000000"/>
          <w:sz w:val="19"/>
          <w:szCs w:val="19"/>
          <w:lang w:eastAsia="fr-FR"/>
        </w:rPr>
        <w:br/>
        <w:t>« Lorsqu'une communication est faite au conseil de surveillance, elle est valablement faite à la personne de son président. Chaque année, le conseil de surveillance rend compte à l'assemblée générale de l'exécution de sa mission. » ;</w:t>
      </w:r>
      <w:r w:rsidRPr="00874A27">
        <w:rPr>
          <w:rFonts w:ascii="Arial" w:eastAsia="Times New Roman" w:hAnsi="Arial" w:cs="Arial"/>
          <w:color w:val="000000"/>
          <w:sz w:val="19"/>
          <w:szCs w:val="19"/>
          <w:lang w:eastAsia="fr-FR"/>
        </w:rPr>
        <w:br/>
        <w:t>5° Après l'article 18, il est inséré un article 18-1 ainsi rédigé :</w:t>
      </w:r>
      <w:r w:rsidRPr="00874A27">
        <w:rPr>
          <w:rFonts w:ascii="Arial" w:eastAsia="Times New Roman" w:hAnsi="Arial" w:cs="Arial"/>
          <w:color w:val="000000"/>
          <w:sz w:val="19"/>
          <w:szCs w:val="19"/>
          <w:lang w:eastAsia="fr-FR"/>
        </w:rPr>
        <w:br/>
        <w:t>« Art. 18-1.-A défaut de dispositions imposant la nomination d'un commissaire aux comptes, le contrôle de la gestion est effectué chaque année par un technicien non associé désigné par l'assemblée à laquelle il rend compte de sa mission.</w:t>
      </w:r>
      <w:r w:rsidRPr="00874A27">
        <w:rPr>
          <w:rFonts w:ascii="Arial" w:eastAsia="Times New Roman" w:hAnsi="Arial" w:cs="Arial"/>
          <w:color w:val="000000"/>
          <w:sz w:val="19"/>
          <w:szCs w:val="19"/>
          <w:lang w:eastAsia="fr-FR"/>
        </w:rPr>
        <w:br/>
        <w:t>« Il peut avoir recours aux dispositions du troisième alinéa de l'article 18. » ;</w:t>
      </w:r>
      <w:r w:rsidRPr="00874A27">
        <w:rPr>
          <w:rFonts w:ascii="Arial" w:eastAsia="Times New Roman" w:hAnsi="Arial" w:cs="Arial"/>
          <w:color w:val="000000"/>
          <w:sz w:val="19"/>
          <w:szCs w:val="19"/>
          <w:lang w:eastAsia="fr-FR"/>
        </w:rPr>
        <w:br/>
        <w:t>6° L'article 19-1 est ainsi modifié :</w:t>
      </w:r>
      <w:r w:rsidRPr="00874A27">
        <w:rPr>
          <w:rFonts w:ascii="Arial" w:eastAsia="Times New Roman" w:hAnsi="Arial" w:cs="Arial"/>
          <w:color w:val="000000"/>
          <w:sz w:val="19"/>
          <w:szCs w:val="19"/>
          <w:lang w:eastAsia="fr-FR"/>
        </w:rPr>
        <w:br/>
        <w:t>a) Après les mots : « notamment lorsque », la fin de la seconde phrase est ainsi rédigée : « l'associé est bénéficiaire des minima sociaux ou perçoit une rémunération inférieure au salaire minimum interprofessionnel de croissance, ou lorsque l'associé ne peut plus jouir du lot qui lui a été attribué du fait de la fermeture ou de l'inaccessibilité de la station ou de l'ensemble immobilier concerné. » ;</w:t>
      </w:r>
      <w:r w:rsidRPr="00874A27">
        <w:rPr>
          <w:rFonts w:ascii="Arial" w:eastAsia="Times New Roman" w:hAnsi="Arial" w:cs="Arial"/>
          <w:color w:val="000000"/>
          <w:sz w:val="19"/>
          <w:szCs w:val="19"/>
          <w:lang w:eastAsia="fr-FR"/>
        </w:rPr>
        <w:br/>
        <w:t>b) Il est ajouté un alinéa ainsi rédigé :</w:t>
      </w:r>
      <w:r w:rsidRPr="00874A27">
        <w:rPr>
          <w:rFonts w:ascii="Arial" w:eastAsia="Times New Roman" w:hAnsi="Arial" w:cs="Arial"/>
          <w:color w:val="000000"/>
          <w:sz w:val="19"/>
          <w:szCs w:val="19"/>
          <w:lang w:eastAsia="fr-FR"/>
        </w:rPr>
        <w:br/>
        <w:t>« Le retrait est de droit lorsque les parts ou actions que l'associé détient dans le capital social lui ont été transmises par succession depuis moins de deux ans à compter de la demande de retrait formée par l'héritier ou les héritiers devenus associés auprès de la société. Le retrait est constaté par acte notarié signé par l'héritier ou les héritiers devenus associés qui se retirent et le représentant de la société. Le coût du ou des actes notariés et les droits y afférents liés au retrait sont supportés par l'héritier ou les héritiers devenus associés qui se retirent. En cas de pluralité d'héritiers, il est fait application de l'</w:t>
      </w:r>
      <w:hyperlink r:id="rId216" w:history="1">
        <w:r w:rsidRPr="00874A27">
          <w:rPr>
            <w:rFonts w:ascii="Arial" w:eastAsia="Times New Roman" w:hAnsi="Arial" w:cs="Arial"/>
            <w:color w:val="336699"/>
            <w:sz w:val="19"/>
            <w:szCs w:val="19"/>
            <w:u w:val="single"/>
            <w:lang w:eastAsia="fr-FR"/>
          </w:rPr>
          <w:t>article 815-3 du code civil</w:t>
        </w:r>
      </w:hyperlink>
      <w:r w:rsidRPr="00874A27">
        <w:rPr>
          <w:rFonts w:ascii="Arial" w:eastAsia="Times New Roman" w:hAnsi="Arial" w:cs="Arial"/>
          <w:color w:val="000000"/>
          <w:sz w:val="19"/>
          <w:szCs w:val="19"/>
          <w:lang w:eastAsia="fr-FR"/>
        </w:rPr>
        <w:t>. L'héritier ou les héritiers devenus associés qui se retirent ont droit au remboursement de la valeur de leurs droits sociaux fixée, à défaut d'accord amiable, conformément à l'article 1843-4 du même code. » ;</w:t>
      </w:r>
      <w:r w:rsidRPr="00874A27">
        <w:rPr>
          <w:rFonts w:ascii="Arial" w:eastAsia="Times New Roman" w:hAnsi="Arial" w:cs="Arial"/>
          <w:color w:val="000000"/>
          <w:sz w:val="19"/>
          <w:szCs w:val="19"/>
          <w:lang w:eastAsia="fr-FR"/>
        </w:rPr>
        <w:br/>
        <w:t>7° L'article 33 est ainsi modifié :</w:t>
      </w:r>
      <w:r w:rsidRPr="00874A27">
        <w:rPr>
          <w:rFonts w:ascii="Arial" w:eastAsia="Times New Roman" w:hAnsi="Arial" w:cs="Arial"/>
          <w:color w:val="000000"/>
          <w:sz w:val="19"/>
          <w:szCs w:val="19"/>
          <w:lang w:eastAsia="fr-FR"/>
        </w:rPr>
        <w:br/>
        <w:t>a) Au second alinéa, après la seconde occurrence du mot : « associés », sont insérés les mots : « ou " propriété ” pour qualifier les droits qui leur sont accordés sur l'immeuble » ;</w:t>
      </w:r>
      <w:r w:rsidRPr="00874A27">
        <w:rPr>
          <w:rFonts w:ascii="Arial" w:eastAsia="Times New Roman" w:hAnsi="Arial" w:cs="Arial"/>
          <w:color w:val="000000"/>
          <w:sz w:val="19"/>
          <w:szCs w:val="19"/>
          <w:lang w:eastAsia="fr-FR"/>
        </w:rPr>
        <w:br/>
        <w:t>b) Il est ajouté un alinéa ainsi rédigé :</w:t>
      </w:r>
      <w:r w:rsidRPr="00874A27">
        <w:rPr>
          <w:rFonts w:ascii="Arial" w:eastAsia="Times New Roman" w:hAnsi="Arial" w:cs="Arial"/>
          <w:color w:val="000000"/>
          <w:sz w:val="19"/>
          <w:szCs w:val="19"/>
          <w:lang w:eastAsia="fr-FR"/>
        </w:rPr>
        <w:br/>
        <w:t>« Est puni de 15 000 € d'amende le fait, pour tout annonceur, de diffuser ou de faire diffuser pour son compte une publicité non conforme au deuxième alinéa. »</w:t>
      </w:r>
      <w:r w:rsidRPr="00874A27">
        <w:rPr>
          <w:rFonts w:ascii="Arial" w:eastAsia="Times New Roman" w:hAnsi="Arial" w:cs="Arial"/>
          <w:color w:val="000000"/>
          <w:sz w:val="19"/>
          <w:szCs w:val="19"/>
          <w:lang w:eastAsia="fr-FR"/>
        </w:rPr>
        <w:br/>
        <w:t>II. ― Le présent article entre en vigueur six mois après la promulgation de la présente loi.</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50" w:name="JORFARTI000028772705"/>
      <w:bookmarkEnd w:id="50"/>
      <w:r w:rsidRPr="00874A27">
        <w:rPr>
          <w:rFonts w:ascii="Arial" w:eastAsia="Times New Roman" w:hAnsi="Arial" w:cs="Arial"/>
          <w:b/>
          <w:bCs/>
          <w:color w:val="000000"/>
          <w:sz w:val="23"/>
          <w:szCs w:val="23"/>
          <w:lang w:eastAsia="fr-FR"/>
        </w:rPr>
        <w:t>Article 51 </w:t>
      </w:r>
      <w:hyperlink r:id="rId217" w:tooltip="En savoir plus sur l'article 5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101 de la loi n° 2009-323 du 25 mars 2009 de mobilisation pour le logement et la lutte contre l'exclusion est ainsi modifié :</w:t>
      </w:r>
      <w:r w:rsidRPr="00874A27">
        <w:rPr>
          <w:rFonts w:ascii="Arial" w:eastAsia="Times New Roman" w:hAnsi="Arial" w:cs="Arial"/>
          <w:color w:val="000000"/>
          <w:sz w:val="19"/>
          <w:szCs w:val="19"/>
          <w:lang w:eastAsia="fr-FR"/>
        </w:rPr>
        <w:br/>
        <w:t>1° Après le premier alinéa, il est inséré un alinéa ainsi rédigé :</w:t>
      </w:r>
      <w:r w:rsidRPr="00874A27">
        <w:rPr>
          <w:rFonts w:ascii="Arial" w:eastAsia="Times New Roman" w:hAnsi="Arial" w:cs="Arial"/>
          <w:color w:val="000000"/>
          <w:sz w:val="19"/>
          <w:szCs w:val="19"/>
          <w:lang w:eastAsia="fr-FR"/>
        </w:rPr>
        <w:br/>
        <w:t>« Les organismes publics ou privés qui s'engagent dans ce dispositif sont agréés par l'Etat au vu de leur compétence à mener des travaux d'aménagement et à organiser l'occupation de bâtiments par des résidents temporaires. » ;</w:t>
      </w:r>
      <w:r w:rsidRPr="00874A27">
        <w:rPr>
          <w:rFonts w:ascii="Arial" w:eastAsia="Times New Roman" w:hAnsi="Arial" w:cs="Arial"/>
          <w:color w:val="000000"/>
          <w:sz w:val="19"/>
          <w:szCs w:val="19"/>
          <w:lang w:eastAsia="fr-FR"/>
        </w:rPr>
        <w:br/>
        <w:t>2° Au deuxième alinéa, les mots : « sont soumises à l'agrément de l'Etat et » sont supprimés et est ajoutée une phrase ainsi rédigée :</w:t>
      </w:r>
      <w:r w:rsidRPr="00874A27">
        <w:rPr>
          <w:rFonts w:ascii="Arial" w:eastAsia="Times New Roman" w:hAnsi="Arial" w:cs="Arial"/>
          <w:color w:val="000000"/>
          <w:sz w:val="19"/>
          <w:szCs w:val="19"/>
          <w:lang w:eastAsia="fr-FR"/>
        </w:rPr>
        <w:br/>
        <w:t>« La convention est d'une durée maximale de trois ans et peut être prorogée par périodes d'un an, dès lors que le propriétaire justifie que le changement de destination des locaux qui devait faire suite à l'occupation du bâtiment par des résidents temporaires ne peut survenir à l'échéance du délai initialement prévu. » ;</w:t>
      </w:r>
      <w:r w:rsidRPr="00874A27">
        <w:rPr>
          <w:rFonts w:ascii="Arial" w:eastAsia="Times New Roman" w:hAnsi="Arial" w:cs="Arial"/>
          <w:color w:val="000000"/>
          <w:sz w:val="19"/>
          <w:szCs w:val="19"/>
          <w:lang w:eastAsia="fr-FR"/>
        </w:rPr>
        <w:br/>
        <w:t>3° A la première phrase du troisième alinéa et à la troisième phrase du quatrième alinéa, le mot : « deuxième » est remplacé par le mot : « troisième » ;</w:t>
      </w:r>
      <w:r w:rsidRPr="00874A27">
        <w:rPr>
          <w:rFonts w:ascii="Arial" w:eastAsia="Times New Roman" w:hAnsi="Arial" w:cs="Arial"/>
          <w:color w:val="000000"/>
          <w:sz w:val="19"/>
          <w:szCs w:val="19"/>
          <w:lang w:eastAsia="fr-FR"/>
        </w:rPr>
        <w:br/>
        <w:t>4° La dernière phrase du dernier alinéa est ainsi rédigée :</w:t>
      </w:r>
      <w:r w:rsidRPr="00874A27">
        <w:rPr>
          <w:rFonts w:ascii="Arial" w:eastAsia="Times New Roman" w:hAnsi="Arial" w:cs="Arial"/>
          <w:color w:val="000000"/>
          <w:sz w:val="19"/>
          <w:szCs w:val="19"/>
          <w:lang w:eastAsia="fr-FR"/>
        </w:rPr>
        <w:br/>
        <w:t>« Dans un délai de dix-huit mois après la promulgation de la </w:t>
      </w:r>
      <w:hyperlink r:id="rId218" w:history="1">
        <w:r w:rsidRPr="00874A27">
          <w:rPr>
            <w:rFonts w:ascii="Arial" w:eastAsia="Times New Roman" w:hAnsi="Arial" w:cs="Arial"/>
            <w:color w:val="336699"/>
            <w:sz w:val="19"/>
            <w:szCs w:val="19"/>
            <w:u w:val="single"/>
            <w:lang w:eastAsia="fr-FR"/>
          </w:rPr>
          <w:t>loi n° 2014-366 du 24 mars 2014 </w:t>
        </w:r>
      </w:hyperlink>
      <w:r w:rsidRPr="00874A27">
        <w:rPr>
          <w:rFonts w:ascii="Arial" w:eastAsia="Times New Roman" w:hAnsi="Arial" w:cs="Arial"/>
          <w:color w:val="000000"/>
          <w:sz w:val="19"/>
          <w:szCs w:val="19"/>
          <w:lang w:eastAsia="fr-FR"/>
        </w:rPr>
        <w:t>pour l'accès au logement et un urbanisme rénové, un premier rapport bisannuel de suivi et d'évaluation est déposé au Parlement. »</w:t>
      </w:r>
    </w:p>
    <w:p w:rsidR="00874A27" w:rsidRPr="00874A27" w:rsidRDefault="00874A27" w:rsidP="00874A27">
      <w:pPr>
        <w:numPr>
          <w:ilvl w:val="0"/>
          <w:numId w:val="2"/>
        </w:numPr>
        <w:shd w:val="clear" w:color="auto" w:fill="FFFFFF"/>
        <w:spacing w:before="100" w:beforeAutospacing="1" w:after="100" w:afterAutospacing="1" w:line="240" w:lineRule="auto"/>
        <w:ind w:left="18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TITRE II : LUTTER CONTRE L'HABITAT INDIGNE ET LES COPROPRIÉTÉS DÉGRADÉES</w:t>
      </w:r>
    </w:p>
    <w:p w:rsidR="00874A27" w:rsidRPr="00874A27" w:rsidRDefault="00874A27" w:rsidP="00874A27">
      <w:pPr>
        <w:numPr>
          <w:ilvl w:val="1"/>
          <w:numId w:val="2"/>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lastRenderedPageBreak/>
        <w:t>Chapitre Ier : Repérer et prévenir l'endettement et la dégradation des copropriétés</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1 : Créer un registre d'immatriculation des copropriétés</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51" w:name="JORFARTI000028773437"/>
      <w:bookmarkEnd w:id="51"/>
      <w:r w:rsidRPr="00874A27">
        <w:rPr>
          <w:rFonts w:ascii="Arial" w:eastAsia="Times New Roman" w:hAnsi="Arial" w:cs="Arial"/>
          <w:b/>
          <w:bCs/>
          <w:color w:val="000000"/>
          <w:sz w:val="23"/>
          <w:szCs w:val="23"/>
          <w:lang w:eastAsia="fr-FR"/>
        </w:rPr>
        <w:t>Article 52 </w:t>
      </w:r>
      <w:hyperlink r:id="rId219" w:tooltip="En savoir plus sur l'article 5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la construction et de l'habitation est complété par un livre VII 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LIVRE VII</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IMMEUBLES RELEVANT DU STATUT</w:t>
      </w:r>
      <w:r w:rsidRPr="00874A27">
        <w:rPr>
          <w:rFonts w:ascii="Arial" w:eastAsia="Times New Roman" w:hAnsi="Arial" w:cs="Arial"/>
          <w:color w:val="000000"/>
          <w:sz w:val="19"/>
          <w:szCs w:val="19"/>
          <w:lang w:eastAsia="fr-FR"/>
        </w:rPr>
        <w:br/>
        <w:t>DE LA COPROPRIÉTÉ</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Ier</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Identification des immeubles</w:t>
      </w:r>
      <w:r w:rsidRPr="00874A27">
        <w:rPr>
          <w:rFonts w:ascii="Arial" w:eastAsia="Times New Roman" w:hAnsi="Arial" w:cs="Arial"/>
          <w:color w:val="000000"/>
          <w:sz w:val="19"/>
          <w:szCs w:val="19"/>
          <w:lang w:eastAsia="fr-FR"/>
        </w:rPr>
        <w:br/>
        <w:t>relevant du statut de la copropriété</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unique</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De l'immatriculation des syndicats</w:t>
      </w:r>
      <w:r w:rsidRPr="00874A27">
        <w:rPr>
          <w:rFonts w:ascii="Arial" w:eastAsia="Times New Roman" w:hAnsi="Arial" w:cs="Arial"/>
          <w:color w:val="000000"/>
          <w:sz w:val="19"/>
          <w:szCs w:val="19"/>
          <w:lang w:eastAsia="fr-FR"/>
        </w:rPr>
        <w:br/>
        <w:t>de copropriétaires</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711-1. - Afin de faciliter la connaissance des pouvoirs publics sur l'état des copropriétés et la mise en œuvre des actions destinées à prévenir la survenance des dysfonctionnements, il est institué un registre auquel sont immatriculés les syndicats de copropriétaires définis à l'</w:t>
      </w:r>
      <w:hyperlink r:id="rId220" w:history="1">
        <w:r w:rsidRPr="00874A27">
          <w:rPr>
            <w:rFonts w:ascii="Arial" w:eastAsia="Times New Roman" w:hAnsi="Arial" w:cs="Arial"/>
            <w:color w:val="336699"/>
            <w:sz w:val="19"/>
            <w:szCs w:val="19"/>
            <w:u w:val="single"/>
            <w:lang w:eastAsia="fr-FR"/>
          </w:rPr>
          <w:t>article 14 de la loi n° 65-557 du 10 juillet 1965</w:t>
        </w:r>
      </w:hyperlink>
      <w:r w:rsidRPr="00874A27">
        <w:rPr>
          <w:rFonts w:ascii="Arial" w:eastAsia="Times New Roman" w:hAnsi="Arial" w:cs="Arial"/>
          <w:color w:val="000000"/>
          <w:sz w:val="19"/>
          <w:szCs w:val="19"/>
          <w:lang w:eastAsia="fr-FR"/>
        </w:rPr>
        <w:t> fixant le statut de la copropriété des immeubles bâtis, qui administrent des immeubles à destination partielle ou totale d'habitation.</w:t>
      </w:r>
      <w:r w:rsidRPr="00874A27">
        <w:rPr>
          <w:rFonts w:ascii="Arial" w:eastAsia="Times New Roman" w:hAnsi="Arial" w:cs="Arial"/>
          <w:color w:val="000000"/>
          <w:sz w:val="19"/>
          <w:szCs w:val="19"/>
          <w:lang w:eastAsia="fr-FR"/>
        </w:rPr>
        <w:br/>
        <w:t>« Art. L. 711-2. - I. ― Les syndicats de copropriétaires sont tenus de déclarer les données mentionnées au présent article ainsi que toute modification les concernant.</w:t>
      </w:r>
      <w:r w:rsidRPr="00874A27">
        <w:rPr>
          <w:rFonts w:ascii="Arial" w:eastAsia="Times New Roman" w:hAnsi="Arial" w:cs="Arial"/>
          <w:color w:val="000000"/>
          <w:sz w:val="19"/>
          <w:szCs w:val="19"/>
          <w:lang w:eastAsia="fr-FR"/>
        </w:rPr>
        <w:br/>
        <w:t>« II. ― Figurent au registre :</w:t>
      </w:r>
      <w:r w:rsidRPr="00874A27">
        <w:rPr>
          <w:rFonts w:ascii="Arial" w:eastAsia="Times New Roman" w:hAnsi="Arial" w:cs="Arial"/>
          <w:color w:val="000000"/>
          <w:sz w:val="19"/>
          <w:szCs w:val="19"/>
          <w:lang w:eastAsia="fr-FR"/>
        </w:rPr>
        <w:br/>
        <w:t>« 1° Le nom, l'adresse, la date de création du syndicat, le nombre et la nature des lots qui composent la copropriété ainsi que, le cas échéant, le nom du syndic ;</w:t>
      </w:r>
      <w:r w:rsidRPr="00874A27">
        <w:rPr>
          <w:rFonts w:ascii="Arial" w:eastAsia="Times New Roman" w:hAnsi="Arial" w:cs="Arial"/>
          <w:color w:val="000000"/>
          <w:sz w:val="19"/>
          <w:szCs w:val="19"/>
          <w:lang w:eastAsia="fr-FR"/>
        </w:rPr>
        <w:br/>
        <w:t>« 2° Si le syndicat fait l'objet d'une procédure prévue aux articles </w:t>
      </w:r>
      <w:hyperlink r:id="rId221" w:history="1">
        <w:r w:rsidRPr="00874A27">
          <w:rPr>
            <w:rFonts w:ascii="Arial" w:eastAsia="Times New Roman" w:hAnsi="Arial" w:cs="Arial"/>
            <w:color w:val="336699"/>
            <w:sz w:val="19"/>
            <w:szCs w:val="19"/>
            <w:u w:val="single"/>
            <w:lang w:eastAsia="fr-FR"/>
          </w:rPr>
          <w:t>29-1 A</w:t>
        </w:r>
      </w:hyperlink>
      <w:r w:rsidRPr="00874A27">
        <w:rPr>
          <w:rFonts w:ascii="Arial" w:eastAsia="Times New Roman" w:hAnsi="Arial" w:cs="Arial"/>
          <w:color w:val="000000"/>
          <w:sz w:val="19"/>
          <w:szCs w:val="19"/>
          <w:lang w:eastAsia="fr-FR"/>
        </w:rPr>
        <w:t> ou </w:t>
      </w:r>
      <w:hyperlink r:id="rId222" w:history="1">
        <w:r w:rsidRPr="00874A27">
          <w:rPr>
            <w:rFonts w:ascii="Arial" w:eastAsia="Times New Roman" w:hAnsi="Arial" w:cs="Arial"/>
            <w:color w:val="336699"/>
            <w:sz w:val="19"/>
            <w:szCs w:val="19"/>
            <w:u w:val="single"/>
            <w:lang w:eastAsia="fr-FR"/>
          </w:rPr>
          <w:t>29-1</w:t>
        </w:r>
      </w:hyperlink>
      <w:r w:rsidRPr="00874A27">
        <w:rPr>
          <w:rFonts w:ascii="Arial" w:eastAsia="Times New Roman" w:hAnsi="Arial" w:cs="Arial"/>
          <w:color w:val="000000"/>
          <w:sz w:val="19"/>
          <w:szCs w:val="19"/>
          <w:lang w:eastAsia="fr-FR"/>
        </w:rPr>
        <w:t> de la loi n° 65-557 du 10 juillet 1965 fixant le statut de la copropriété des immeubles bâtis ou à l'article L. 615-6 du présent code ;</w:t>
      </w:r>
      <w:r w:rsidRPr="00874A27">
        <w:rPr>
          <w:rFonts w:ascii="Arial" w:eastAsia="Times New Roman" w:hAnsi="Arial" w:cs="Arial"/>
          <w:color w:val="000000"/>
          <w:sz w:val="19"/>
          <w:szCs w:val="19"/>
          <w:lang w:eastAsia="fr-FR"/>
        </w:rPr>
        <w:br/>
        <w:t>« 3° Si le syndicat fait l'objet d'un arrêté ou d'une injonction pris en application des articles </w:t>
      </w:r>
      <w:hyperlink r:id="rId223" w:history="1">
        <w:r w:rsidRPr="00874A27">
          <w:rPr>
            <w:rFonts w:ascii="Arial" w:eastAsia="Times New Roman" w:hAnsi="Arial" w:cs="Arial"/>
            <w:color w:val="336699"/>
            <w:sz w:val="19"/>
            <w:szCs w:val="19"/>
            <w:u w:val="single"/>
            <w:lang w:eastAsia="fr-FR"/>
          </w:rPr>
          <w:t>L. 1331-24</w:t>
        </w:r>
      </w:hyperlink>
      <w:r w:rsidRPr="00874A27">
        <w:rPr>
          <w:rFonts w:ascii="Arial" w:eastAsia="Times New Roman" w:hAnsi="Arial" w:cs="Arial"/>
          <w:color w:val="000000"/>
          <w:sz w:val="19"/>
          <w:szCs w:val="19"/>
          <w:lang w:eastAsia="fr-FR"/>
        </w:rPr>
        <w:t>, </w:t>
      </w:r>
      <w:hyperlink r:id="rId224" w:history="1">
        <w:r w:rsidRPr="00874A27">
          <w:rPr>
            <w:rFonts w:ascii="Arial" w:eastAsia="Times New Roman" w:hAnsi="Arial" w:cs="Arial"/>
            <w:color w:val="336699"/>
            <w:sz w:val="19"/>
            <w:szCs w:val="19"/>
            <w:u w:val="single"/>
            <w:lang w:eastAsia="fr-FR"/>
          </w:rPr>
          <w:t>L. 1331-26</w:t>
        </w:r>
      </w:hyperlink>
      <w:r w:rsidRPr="00874A27">
        <w:rPr>
          <w:rFonts w:ascii="Arial" w:eastAsia="Times New Roman" w:hAnsi="Arial" w:cs="Arial"/>
          <w:color w:val="000000"/>
          <w:sz w:val="19"/>
          <w:szCs w:val="19"/>
          <w:lang w:eastAsia="fr-FR"/>
        </w:rPr>
        <w:t>, </w:t>
      </w:r>
      <w:hyperlink r:id="rId225" w:history="1">
        <w:r w:rsidRPr="00874A27">
          <w:rPr>
            <w:rFonts w:ascii="Arial" w:eastAsia="Times New Roman" w:hAnsi="Arial" w:cs="Arial"/>
            <w:color w:val="336699"/>
            <w:sz w:val="19"/>
            <w:szCs w:val="19"/>
            <w:u w:val="single"/>
            <w:lang w:eastAsia="fr-FR"/>
          </w:rPr>
          <w:t>L. 1331-26-1</w:t>
        </w:r>
      </w:hyperlink>
      <w:r w:rsidRPr="00874A27">
        <w:rPr>
          <w:rFonts w:ascii="Arial" w:eastAsia="Times New Roman" w:hAnsi="Arial" w:cs="Arial"/>
          <w:color w:val="000000"/>
          <w:sz w:val="19"/>
          <w:szCs w:val="19"/>
          <w:lang w:eastAsia="fr-FR"/>
        </w:rPr>
        <w:t>, </w:t>
      </w:r>
      <w:hyperlink r:id="rId226" w:history="1">
        <w:r w:rsidRPr="00874A27">
          <w:rPr>
            <w:rFonts w:ascii="Arial" w:eastAsia="Times New Roman" w:hAnsi="Arial" w:cs="Arial"/>
            <w:color w:val="336699"/>
            <w:sz w:val="19"/>
            <w:szCs w:val="19"/>
            <w:u w:val="single"/>
            <w:lang w:eastAsia="fr-FR"/>
          </w:rPr>
          <w:t>L. 1334-2</w:t>
        </w:r>
      </w:hyperlink>
      <w:r w:rsidRPr="00874A27">
        <w:rPr>
          <w:rFonts w:ascii="Arial" w:eastAsia="Times New Roman" w:hAnsi="Arial" w:cs="Arial"/>
          <w:color w:val="000000"/>
          <w:sz w:val="19"/>
          <w:szCs w:val="19"/>
          <w:lang w:eastAsia="fr-FR"/>
        </w:rPr>
        <w:t> ou </w:t>
      </w:r>
      <w:hyperlink r:id="rId227" w:history="1">
        <w:r w:rsidRPr="00874A27">
          <w:rPr>
            <w:rFonts w:ascii="Arial" w:eastAsia="Times New Roman" w:hAnsi="Arial" w:cs="Arial"/>
            <w:color w:val="336699"/>
            <w:sz w:val="19"/>
            <w:szCs w:val="19"/>
            <w:u w:val="single"/>
            <w:lang w:eastAsia="fr-FR"/>
          </w:rPr>
          <w:t>L. 1334-16</w:t>
        </w:r>
      </w:hyperlink>
      <w:r w:rsidRPr="00874A27">
        <w:rPr>
          <w:rFonts w:ascii="Arial" w:eastAsia="Times New Roman" w:hAnsi="Arial" w:cs="Arial"/>
          <w:color w:val="000000"/>
          <w:sz w:val="19"/>
          <w:szCs w:val="19"/>
          <w:lang w:eastAsia="fr-FR"/>
        </w:rPr>
        <w:t> du code de la santé publique ou L. 511-2, L. 511-3, L. 129-2, L. 129-3 ou L. 129-4-1 du présent code.</w:t>
      </w:r>
      <w:r w:rsidRPr="00874A27">
        <w:rPr>
          <w:rFonts w:ascii="Arial" w:eastAsia="Times New Roman" w:hAnsi="Arial" w:cs="Arial"/>
          <w:color w:val="000000"/>
          <w:sz w:val="19"/>
          <w:szCs w:val="19"/>
          <w:lang w:eastAsia="fr-FR"/>
        </w:rPr>
        <w:br/>
        <w:t>« III. ― Figurent également au registre :</w:t>
      </w:r>
      <w:r w:rsidRPr="00874A27">
        <w:rPr>
          <w:rFonts w:ascii="Arial" w:eastAsia="Times New Roman" w:hAnsi="Arial" w:cs="Arial"/>
          <w:color w:val="000000"/>
          <w:sz w:val="19"/>
          <w:szCs w:val="19"/>
          <w:lang w:eastAsia="fr-FR"/>
        </w:rPr>
        <w:br/>
        <w:t>« 1° A l'issue de chaque exercice comptable, les données essentielles relatives à la gestion et aux comptes du syndicat, issues notamment du budget prévisionnel, des comptes du syndicat et de leurs annexes ;</w:t>
      </w:r>
      <w:r w:rsidRPr="00874A27">
        <w:rPr>
          <w:rFonts w:ascii="Arial" w:eastAsia="Times New Roman" w:hAnsi="Arial" w:cs="Arial"/>
          <w:color w:val="000000"/>
          <w:sz w:val="19"/>
          <w:szCs w:val="19"/>
          <w:lang w:eastAsia="fr-FR"/>
        </w:rPr>
        <w:br/>
        <w:t>« 2° Les données essentielles relatives au bâti issues, le cas échéant, du carnet d'entretien et du diagnostic technique global réalisé en application de l'article L. 731-1, dès lors que celles-ci ne sont pas déjà fournies par les services fiscaux au teneur du registre, qui est autorisé à les utiliser pour la mise en œuvre des objectifs mentionnés à l'article L. 711-1.</w:t>
      </w:r>
      <w:r w:rsidRPr="00874A27">
        <w:rPr>
          <w:rFonts w:ascii="Arial" w:eastAsia="Times New Roman" w:hAnsi="Arial" w:cs="Arial"/>
          <w:color w:val="000000"/>
          <w:sz w:val="19"/>
          <w:szCs w:val="19"/>
          <w:lang w:eastAsia="fr-FR"/>
        </w:rPr>
        <w:br/>
        <w:t>« Les obligations prévues au présent article peuvent faire l'objet d'une adaptation à la situation particulière des syndicats mentionnés au </w:t>
      </w:r>
      <w:hyperlink r:id="rId228" w:history="1">
        <w:r w:rsidRPr="00874A27">
          <w:rPr>
            <w:rFonts w:ascii="Arial" w:eastAsia="Times New Roman" w:hAnsi="Arial" w:cs="Arial"/>
            <w:color w:val="336699"/>
            <w:sz w:val="19"/>
            <w:szCs w:val="19"/>
            <w:u w:val="single"/>
            <w:lang w:eastAsia="fr-FR"/>
          </w:rPr>
          <w:t>deuxième alinéa de l'article 14-3 de la loi n° 65-557 du 10 juillet 1965 précitée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IV. ― Un décret en Conseil d'Etat, pris après avis de la Commission nationale de l'informatique et des libertés, précise les conditions de publicité des informations mentionnées aux II et III du présent article ainsi que les conditions de consultation du registre.</w:t>
      </w:r>
      <w:r w:rsidRPr="00874A27">
        <w:rPr>
          <w:rFonts w:ascii="Arial" w:eastAsia="Times New Roman" w:hAnsi="Arial" w:cs="Arial"/>
          <w:color w:val="000000"/>
          <w:sz w:val="19"/>
          <w:szCs w:val="19"/>
          <w:lang w:eastAsia="fr-FR"/>
        </w:rPr>
        <w:br/>
        <w:t xml:space="preserve">« Art. L. 711-3. - Pour la mise en œuvre des politiques de l'habitat et de lutte contre l'habitat indigne et les copropriétés dégradées, l'Etat, les collectivités territoriales et leurs groupements obtiennent, à </w:t>
      </w:r>
      <w:r w:rsidRPr="00874A27">
        <w:rPr>
          <w:rFonts w:ascii="Arial" w:eastAsia="Times New Roman" w:hAnsi="Arial" w:cs="Arial"/>
          <w:color w:val="000000"/>
          <w:sz w:val="19"/>
          <w:szCs w:val="19"/>
          <w:lang w:eastAsia="fr-FR"/>
        </w:rPr>
        <w:lastRenderedPageBreak/>
        <w:t>leur demande, du teneur du registre communication des informations du registre relatives aux copropriétés situées sur leur territoire.</w:t>
      </w:r>
      <w:r w:rsidRPr="00874A27">
        <w:rPr>
          <w:rFonts w:ascii="Arial" w:eastAsia="Times New Roman" w:hAnsi="Arial" w:cs="Arial"/>
          <w:color w:val="000000"/>
          <w:sz w:val="19"/>
          <w:szCs w:val="19"/>
          <w:lang w:eastAsia="fr-FR"/>
        </w:rPr>
        <w:br/>
        <w:t>« Art. L. 711-4. - I. ― Pour les immeubles mis en copropriété, le notaire chargé de publier au fichier immobilier et au livre foncier l'état descriptif de division et le règlement de copropriété fait la déclaration d'immatriculation du syndicat de copropriétaires.</w:t>
      </w:r>
      <w:r w:rsidRPr="00874A27">
        <w:rPr>
          <w:rFonts w:ascii="Arial" w:eastAsia="Times New Roman" w:hAnsi="Arial" w:cs="Arial"/>
          <w:color w:val="000000"/>
          <w:sz w:val="19"/>
          <w:szCs w:val="19"/>
          <w:lang w:eastAsia="fr-FR"/>
        </w:rPr>
        <w:br/>
        <w:t>« II. ― A l'exception du cas mentionné au I, le syndic fait la déclaration d'immatriculation.</w:t>
      </w:r>
      <w:r w:rsidRPr="00874A27">
        <w:rPr>
          <w:rFonts w:ascii="Arial" w:eastAsia="Times New Roman" w:hAnsi="Arial" w:cs="Arial"/>
          <w:color w:val="000000"/>
          <w:sz w:val="19"/>
          <w:szCs w:val="19"/>
          <w:lang w:eastAsia="fr-FR"/>
        </w:rPr>
        <w:br/>
        <w:t>« Le syndic accomplit les formalités de déclaration et de modification des données prévues à l'article L. 711-2.</w:t>
      </w:r>
      <w:r w:rsidRPr="00874A27">
        <w:rPr>
          <w:rFonts w:ascii="Arial" w:eastAsia="Times New Roman" w:hAnsi="Arial" w:cs="Arial"/>
          <w:color w:val="000000"/>
          <w:sz w:val="19"/>
          <w:szCs w:val="19"/>
          <w:lang w:eastAsia="fr-FR"/>
        </w:rPr>
        <w:br/>
        <w:t>« III. ― Le dépôt du dossier d'immatriculation, les modifications qui y sont apportées ainsi que la transmission des données prévues au même article L. 711-2 sont dématérialisés.</w:t>
      </w:r>
      <w:r w:rsidRPr="00874A27">
        <w:rPr>
          <w:rFonts w:ascii="Arial" w:eastAsia="Times New Roman" w:hAnsi="Arial" w:cs="Arial"/>
          <w:color w:val="000000"/>
          <w:sz w:val="19"/>
          <w:szCs w:val="19"/>
          <w:lang w:eastAsia="fr-FR"/>
        </w:rPr>
        <w:br/>
        <w:t>« Art. L. 711-5. - Tout acte authentique de vente devant notaire relatif à un lot de copropriété comporte la mention du numéro d'immatriculation de la copropriété.</w:t>
      </w:r>
      <w:r w:rsidRPr="00874A27">
        <w:rPr>
          <w:rFonts w:ascii="Arial" w:eastAsia="Times New Roman" w:hAnsi="Arial" w:cs="Arial"/>
          <w:color w:val="000000"/>
          <w:sz w:val="19"/>
          <w:szCs w:val="19"/>
          <w:lang w:eastAsia="fr-FR"/>
        </w:rPr>
        <w:br/>
        <w:t>« En l'absence de syndic désigné ou lorsque la mise en demeure mentionnée à l'article L. 711-6 est restée sans effet au terme d'un délai d'un mois, le notaire chargé de l'établissement de l'acte de vente procède d'office à l'immatriculation du syndicat de copropriétaires.</w:t>
      </w:r>
      <w:r w:rsidRPr="00874A27">
        <w:rPr>
          <w:rFonts w:ascii="Arial" w:eastAsia="Times New Roman" w:hAnsi="Arial" w:cs="Arial"/>
          <w:color w:val="000000"/>
          <w:sz w:val="19"/>
          <w:szCs w:val="19"/>
          <w:lang w:eastAsia="fr-FR"/>
        </w:rPr>
        <w:br/>
        <w:t>« Les frais ainsi engagés par le notaire sont supportés par le syndic ou, si le syndic n'est pas rémunéré pour l'exercice de son mandat, par le syndicat.</w:t>
      </w:r>
      <w:r w:rsidRPr="00874A27">
        <w:rPr>
          <w:rFonts w:ascii="Arial" w:eastAsia="Times New Roman" w:hAnsi="Arial" w:cs="Arial"/>
          <w:color w:val="000000"/>
          <w:sz w:val="19"/>
          <w:szCs w:val="19"/>
          <w:lang w:eastAsia="fr-FR"/>
        </w:rPr>
        <w:br/>
        <w:t>« Le notaire informe l'établissement public chargé de la tenue du registre de toute erreur qu'il y constate.</w:t>
      </w:r>
      <w:r w:rsidRPr="00874A27">
        <w:rPr>
          <w:rFonts w:ascii="Arial" w:eastAsia="Times New Roman" w:hAnsi="Arial" w:cs="Arial"/>
          <w:color w:val="000000"/>
          <w:sz w:val="19"/>
          <w:szCs w:val="19"/>
          <w:lang w:eastAsia="fr-FR"/>
        </w:rPr>
        <w:br/>
        <w:t>« Art. L. 711-6. - I. ― Lorsque le syndic n'a pas procédé à l'immatriculation du syndicat de copropriétaires ou lorsqu'il n'a pas transmis à l'établissement public chargé de la tenue du registre les informations prévues à l'article L. 711-2, l'établissement public, un copropriétaire ou toute personne qui y a un intérêt peut mettre en demeure, par lettre recommandée avec demande d'avis de réception, le syndic d'y procéder.</w:t>
      </w:r>
      <w:r w:rsidRPr="00874A27">
        <w:rPr>
          <w:rFonts w:ascii="Arial" w:eastAsia="Times New Roman" w:hAnsi="Arial" w:cs="Arial"/>
          <w:color w:val="000000"/>
          <w:sz w:val="19"/>
          <w:szCs w:val="19"/>
          <w:lang w:eastAsia="fr-FR"/>
        </w:rPr>
        <w:br/>
        <w:t>« II. ― Pour obtenir du syndic l'exécution des obligations mentionnées aux articles L. 711-1 à L. 711-4, le teneur du registre peut, après mise en demeure du syndic restée infructueuse pendant un mois, appliquer une astreinte à l'encontre du syndic. L'astreinte court à compter de la fin de la mise en demeure et jusqu'à la complète transmission ou actualisation des données.</w:t>
      </w:r>
      <w:r w:rsidRPr="00874A27">
        <w:rPr>
          <w:rFonts w:ascii="Arial" w:eastAsia="Times New Roman" w:hAnsi="Arial" w:cs="Arial"/>
          <w:color w:val="000000"/>
          <w:sz w:val="19"/>
          <w:szCs w:val="19"/>
          <w:lang w:eastAsia="fr-FR"/>
        </w:rPr>
        <w:br/>
        <w:t>« L'astreinte est recouvrée comme en matière de contributions directes au profit de l'établissement public chargé de la tenue du registre.</w:t>
      </w:r>
      <w:r w:rsidRPr="00874A27">
        <w:rPr>
          <w:rFonts w:ascii="Arial" w:eastAsia="Times New Roman" w:hAnsi="Arial" w:cs="Arial"/>
          <w:color w:val="000000"/>
          <w:sz w:val="19"/>
          <w:szCs w:val="19"/>
          <w:lang w:eastAsia="fr-FR"/>
        </w:rPr>
        <w:br/>
        <w:t>« Le montant de l'astreinte ne peut être supérieur à 20 € par lot et par semaine.</w:t>
      </w:r>
      <w:r w:rsidRPr="00874A27">
        <w:rPr>
          <w:rFonts w:ascii="Arial" w:eastAsia="Times New Roman" w:hAnsi="Arial" w:cs="Arial"/>
          <w:color w:val="000000"/>
          <w:sz w:val="19"/>
          <w:szCs w:val="19"/>
          <w:lang w:eastAsia="fr-FR"/>
        </w:rPr>
        <w:br/>
        <w:t>« Son montant ne peut être facturé par le syndic aux copropriétaires, sauf si le syndic n'est pas rémunéré pour l'exercice de son mandat.</w:t>
      </w:r>
      <w:r w:rsidRPr="00874A27">
        <w:rPr>
          <w:rFonts w:ascii="Arial" w:eastAsia="Times New Roman" w:hAnsi="Arial" w:cs="Arial"/>
          <w:color w:val="000000"/>
          <w:sz w:val="19"/>
          <w:szCs w:val="19"/>
          <w:lang w:eastAsia="fr-FR"/>
        </w:rPr>
        <w:br/>
        <w:t>« III. ― Les syndicats de copropriétaires ne peuvent bénéficier de subventions de l'Etat, de ses établissements publics, des collectivités territoriales, de leurs groupements ou de leurs établissements publics qu'à la condition d'être immatriculés au registre et que leurs données soient actualisées.</w:t>
      </w:r>
      <w:r w:rsidRPr="00874A27">
        <w:rPr>
          <w:rFonts w:ascii="Arial" w:eastAsia="Times New Roman" w:hAnsi="Arial" w:cs="Arial"/>
          <w:color w:val="000000"/>
          <w:sz w:val="19"/>
          <w:szCs w:val="19"/>
          <w:lang w:eastAsia="fr-FR"/>
        </w:rPr>
        <w:br/>
        <w:t>« Art. L. 711-7. - Les conditions d'application du présent chapitre sont précisées par décret en Conseil d'Etat.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52" w:name="JORFARTI000028773457"/>
      <w:bookmarkEnd w:id="52"/>
      <w:r w:rsidRPr="00874A27">
        <w:rPr>
          <w:rFonts w:ascii="Arial" w:eastAsia="Times New Roman" w:hAnsi="Arial" w:cs="Arial"/>
          <w:b/>
          <w:bCs/>
          <w:color w:val="000000"/>
          <w:sz w:val="23"/>
          <w:szCs w:val="23"/>
          <w:lang w:eastAsia="fr-FR"/>
        </w:rPr>
        <w:t>Article 53 </w:t>
      </w:r>
      <w:hyperlink r:id="rId229" w:tooltip="En savoir plus sur l'article 5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Les syndicats de copropriétaires sont immatriculés selon les modalités prévues au chapitre unique du titre Ier du livre VII du code de la construction et de l'habitation :</w:t>
      </w:r>
      <w:r w:rsidRPr="00874A27">
        <w:rPr>
          <w:rFonts w:ascii="Arial" w:eastAsia="Times New Roman" w:hAnsi="Arial" w:cs="Arial"/>
          <w:color w:val="000000"/>
          <w:sz w:val="19"/>
          <w:szCs w:val="19"/>
          <w:lang w:eastAsia="fr-FR"/>
        </w:rPr>
        <w:br/>
        <w:t>1° Avant le 31 décembre 2016, pour les syndicats de copropriétaires comportant plus de 200 lots ;</w:t>
      </w:r>
      <w:r w:rsidRPr="00874A27">
        <w:rPr>
          <w:rFonts w:ascii="Arial" w:eastAsia="Times New Roman" w:hAnsi="Arial" w:cs="Arial"/>
          <w:color w:val="000000"/>
          <w:sz w:val="19"/>
          <w:szCs w:val="19"/>
          <w:lang w:eastAsia="fr-FR"/>
        </w:rPr>
        <w:br/>
        <w:t>2° Avant le 31 décembre 2017, pour les syndicats de copropriétaires comportant plus de 50 lots ;</w:t>
      </w:r>
      <w:r w:rsidRPr="00874A27">
        <w:rPr>
          <w:rFonts w:ascii="Arial" w:eastAsia="Times New Roman" w:hAnsi="Arial" w:cs="Arial"/>
          <w:color w:val="000000"/>
          <w:sz w:val="19"/>
          <w:szCs w:val="19"/>
          <w:lang w:eastAsia="fr-FR"/>
        </w:rPr>
        <w:br/>
        <w:t>3° Avant le 31 décembre 2018, pour les autres syndicats de copropriétaires.</w:t>
      </w:r>
      <w:r w:rsidRPr="00874A27">
        <w:rPr>
          <w:rFonts w:ascii="Arial" w:eastAsia="Times New Roman" w:hAnsi="Arial" w:cs="Arial"/>
          <w:color w:val="000000"/>
          <w:sz w:val="19"/>
          <w:szCs w:val="19"/>
          <w:lang w:eastAsia="fr-FR"/>
        </w:rPr>
        <w:br/>
        <w:t>II. - Après le 31 décembre 2016, les syndicats de copropriétaires des immeubles neufs ou des immeubles mis en copropriété sont immatriculés dès publication du règlement de copropriété et de l'état descriptif de division au fichier immobilier et au livre foncier, quel que soit le nombre de lots que comporte la copropriété.</w:t>
      </w:r>
      <w:r w:rsidRPr="00874A27">
        <w:rPr>
          <w:rFonts w:ascii="Arial" w:eastAsia="Times New Roman" w:hAnsi="Arial" w:cs="Arial"/>
          <w:color w:val="000000"/>
          <w:sz w:val="19"/>
          <w:szCs w:val="19"/>
          <w:lang w:eastAsia="fr-FR"/>
        </w:rPr>
        <w:br/>
        <w:t>III. - Le I de l'article L. 711-2, l'article L. 711-3, le II de l'article L. 711-4 et les articles L. 711-5 et L. 711-6 du code de la construction et de l'habitation sont applicables à compter du :</w:t>
      </w:r>
      <w:r w:rsidRPr="00874A27">
        <w:rPr>
          <w:rFonts w:ascii="Arial" w:eastAsia="Times New Roman" w:hAnsi="Arial" w:cs="Arial"/>
          <w:color w:val="000000"/>
          <w:sz w:val="19"/>
          <w:szCs w:val="19"/>
          <w:lang w:eastAsia="fr-FR"/>
        </w:rPr>
        <w:br/>
        <w:t>1° 31 décembre 2016, pour les syndicats de copropriétaires comportant plus de 200 lots ainsi que pour les syndicats de copropriétaires mentionnés au II du présent article ;</w:t>
      </w:r>
      <w:r w:rsidRPr="00874A27">
        <w:rPr>
          <w:rFonts w:ascii="Arial" w:eastAsia="Times New Roman" w:hAnsi="Arial" w:cs="Arial"/>
          <w:color w:val="000000"/>
          <w:sz w:val="19"/>
          <w:szCs w:val="19"/>
          <w:lang w:eastAsia="fr-FR"/>
        </w:rPr>
        <w:br/>
        <w:t>2° 31 décembre 2017, pour les syndicats de copropriétaires comportant plus de 50 lots ;</w:t>
      </w:r>
      <w:r w:rsidRPr="00874A27">
        <w:rPr>
          <w:rFonts w:ascii="Arial" w:eastAsia="Times New Roman" w:hAnsi="Arial" w:cs="Arial"/>
          <w:color w:val="000000"/>
          <w:sz w:val="19"/>
          <w:szCs w:val="19"/>
          <w:lang w:eastAsia="fr-FR"/>
        </w:rPr>
        <w:br/>
        <w:t>3° 31 décembre 2018, pour les autres syndicats de copropriétaires.</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2 : Mieux informer les acquéreurs de lots de copropriété</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53" w:name="JORFARTI000028773460"/>
      <w:bookmarkEnd w:id="53"/>
      <w:r w:rsidRPr="00874A27">
        <w:rPr>
          <w:rFonts w:ascii="Arial" w:eastAsia="Times New Roman" w:hAnsi="Arial" w:cs="Arial"/>
          <w:b/>
          <w:bCs/>
          <w:color w:val="000000"/>
          <w:sz w:val="23"/>
          <w:szCs w:val="23"/>
          <w:lang w:eastAsia="fr-FR"/>
        </w:rPr>
        <w:t>Article 54 </w:t>
      </w:r>
      <w:hyperlink r:id="rId230" w:tooltip="En savoir plus sur l'article 5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I. ― Après l'</w:t>
      </w:r>
      <w:hyperlink r:id="rId231" w:history="1">
        <w:r w:rsidRPr="00874A27">
          <w:rPr>
            <w:rFonts w:ascii="Arial" w:eastAsia="Times New Roman" w:hAnsi="Arial" w:cs="Arial"/>
            <w:color w:val="336699"/>
            <w:sz w:val="19"/>
            <w:szCs w:val="19"/>
            <w:u w:val="single"/>
            <w:lang w:eastAsia="fr-FR"/>
          </w:rPr>
          <w:t>article 8-1 de la loi n° 65-557 du 10 juillet 1965</w:t>
        </w:r>
      </w:hyperlink>
      <w:r w:rsidRPr="00874A27">
        <w:rPr>
          <w:rFonts w:ascii="Arial" w:eastAsia="Times New Roman" w:hAnsi="Arial" w:cs="Arial"/>
          <w:color w:val="000000"/>
          <w:sz w:val="19"/>
          <w:szCs w:val="19"/>
          <w:lang w:eastAsia="fr-FR"/>
        </w:rPr>
        <w:t> fixant le statut de la copropriété des immeubles bâtis, il est inséré un article 8-2 ainsi rédigé :</w:t>
      </w:r>
      <w:r w:rsidRPr="00874A27">
        <w:rPr>
          <w:rFonts w:ascii="Arial" w:eastAsia="Times New Roman" w:hAnsi="Arial" w:cs="Arial"/>
          <w:color w:val="000000"/>
          <w:sz w:val="19"/>
          <w:szCs w:val="19"/>
          <w:lang w:eastAsia="fr-FR"/>
        </w:rPr>
        <w:br/>
        <w:t>« Art. 8-2. - Le syndic établit une fiche synthétique de la copropriété regroupant les données financières et techniques essentielles relatives à la copropriété et à son bâti, dont le contenu est défini par décret. Le syndic met à jour la fiche synthétique de la copropriété chaque année.</w:t>
      </w:r>
      <w:r w:rsidRPr="00874A27">
        <w:rPr>
          <w:rFonts w:ascii="Arial" w:eastAsia="Times New Roman" w:hAnsi="Arial" w:cs="Arial"/>
          <w:color w:val="000000"/>
          <w:sz w:val="19"/>
          <w:szCs w:val="19"/>
          <w:lang w:eastAsia="fr-FR"/>
        </w:rPr>
        <w:br/>
        <w:t>« Le syndic met cette fiche à disposition des copropriétaires.</w:t>
      </w:r>
      <w:r w:rsidRPr="00874A27">
        <w:rPr>
          <w:rFonts w:ascii="Arial" w:eastAsia="Times New Roman" w:hAnsi="Arial" w:cs="Arial"/>
          <w:color w:val="000000"/>
          <w:sz w:val="19"/>
          <w:szCs w:val="19"/>
          <w:lang w:eastAsia="fr-FR"/>
        </w:rPr>
        <w:br/>
        <w:t>« Le défaut de réalisation de la fiche synthétique est un motif de révocation du syndic. Les contrats de syndic prévoient obligatoirement une pénalité financière forfaitaire automatique à l'encontre du syndic chaque fois que celui-ci ne met pas la fiche synthétique à disposition d'un copropriétaire dans un délai de quinze jours à compter de la demande. Cette pénalité est déduite de la rémunération du syndic lors du dernier appel de charges de l'exercice.</w:t>
      </w:r>
      <w:r w:rsidRPr="00874A27">
        <w:rPr>
          <w:rFonts w:ascii="Arial" w:eastAsia="Times New Roman" w:hAnsi="Arial" w:cs="Arial"/>
          <w:color w:val="000000"/>
          <w:sz w:val="19"/>
          <w:szCs w:val="19"/>
          <w:lang w:eastAsia="fr-FR"/>
        </w:rPr>
        <w:br/>
        <w:t>« Ces dispositions ne sont pas applicables aux syndics administrant des immeubles à destination totale autre que d'habitation. »</w:t>
      </w:r>
      <w:r w:rsidRPr="00874A27">
        <w:rPr>
          <w:rFonts w:ascii="Arial" w:eastAsia="Times New Roman" w:hAnsi="Arial" w:cs="Arial"/>
          <w:color w:val="000000"/>
          <w:sz w:val="19"/>
          <w:szCs w:val="19"/>
          <w:lang w:eastAsia="fr-FR"/>
        </w:rPr>
        <w:br/>
        <w:t>II. ― L'article 46 de la même loi est ainsi modifié :</w:t>
      </w:r>
      <w:r w:rsidRPr="00874A27">
        <w:rPr>
          <w:rFonts w:ascii="Arial" w:eastAsia="Times New Roman" w:hAnsi="Arial" w:cs="Arial"/>
          <w:color w:val="000000"/>
          <w:sz w:val="19"/>
          <w:szCs w:val="19"/>
          <w:lang w:eastAsia="fr-FR"/>
        </w:rPr>
        <w:br/>
        <w:t>1° Le premier alinéa est ainsi modifié :</w:t>
      </w:r>
      <w:r w:rsidRPr="00874A27">
        <w:rPr>
          <w:rFonts w:ascii="Arial" w:eastAsia="Times New Roman" w:hAnsi="Arial" w:cs="Arial"/>
          <w:color w:val="000000"/>
          <w:sz w:val="19"/>
          <w:szCs w:val="19"/>
          <w:lang w:eastAsia="fr-FR"/>
        </w:rPr>
        <w:br/>
        <w:t>a) La première phrase est complétée par les mots : « ainsi que sa surface habitable » ;</w:t>
      </w:r>
      <w:r w:rsidRPr="00874A27">
        <w:rPr>
          <w:rFonts w:ascii="Arial" w:eastAsia="Times New Roman" w:hAnsi="Arial" w:cs="Arial"/>
          <w:color w:val="000000"/>
          <w:sz w:val="19"/>
          <w:szCs w:val="19"/>
          <w:lang w:eastAsia="fr-FR"/>
        </w:rPr>
        <w:br/>
        <w:t>b) A la seconde phrase, les mots : « de superficie » sont remplacés par les mots : « de la superficie de la partie privative » ;</w:t>
      </w:r>
      <w:r w:rsidRPr="00874A27">
        <w:rPr>
          <w:rFonts w:ascii="Arial" w:eastAsia="Times New Roman" w:hAnsi="Arial" w:cs="Arial"/>
          <w:color w:val="000000"/>
          <w:sz w:val="19"/>
          <w:szCs w:val="19"/>
          <w:lang w:eastAsia="fr-FR"/>
        </w:rPr>
        <w:br/>
        <w:t>2° Le deuxième alinéa est ainsi rédigé :</w:t>
      </w:r>
      <w:r w:rsidRPr="00874A27">
        <w:rPr>
          <w:rFonts w:ascii="Arial" w:eastAsia="Times New Roman" w:hAnsi="Arial" w:cs="Arial"/>
          <w:color w:val="000000"/>
          <w:sz w:val="19"/>
          <w:szCs w:val="19"/>
          <w:lang w:eastAsia="fr-FR"/>
        </w:rPr>
        <w:br/>
        <w:t>« La superficie de la partie privative et la surface habitable sont définies par décret en Conseil d'Etat. » ;</w:t>
      </w:r>
      <w:r w:rsidRPr="00874A27">
        <w:rPr>
          <w:rFonts w:ascii="Arial" w:eastAsia="Times New Roman" w:hAnsi="Arial" w:cs="Arial"/>
          <w:color w:val="000000"/>
          <w:sz w:val="19"/>
          <w:szCs w:val="19"/>
          <w:lang w:eastAsia="fr-FR"/>
        </w:rPr>
        <w:br/>
        <w:t>3° Le début du troisième alinéa est ainsi rédigé : « Pour la superficie de la partie privative, les dispositions du premier alinéa... (le reste sans changement). » ;</w:t>
      </w:r>
      <w:r w:rsidRPr="00874A27">
        <w:rPr>
          <w:rFonts w:ascii="Arial" w:eastAsia="Times New Roman" w:hAnsi="Arial" w:cs="Arial"/>
          <w:color w:val="000000"/>
          <w:sz w:val="19"/>
          <w:szCs w:val="19"/>
          <w:lang w:eastAsia="fr-FR"/>
        </w:rPr>
        <w:br/>
        <w:t>4° Aux sixième et septième alinéas, après les mots : « Si la superficie », sont insérés les mots : « de la partie privative ».</w:t>
      </w:r>
      <w:r w:rsidRPr="00874A27">
        <w:rPr>
          <w:rFonts w:ascii="Arial" w:eastAsia="Times New Roman" w:hAnsi="Arial" w:cs="Arial"/>
          <w:color w:val="000000"/>
          <w:sz w:val="19"/>
          <w:szCs w:val="19"/>
          <w:lang w:eastAsia="fr-FR"/>
        </w:rPr>
        <w:br/>
        <w:t>III. ― Le livre VII du code de la construction et de l'habitation, tel qu'il résulte de l'article 52 de la présente loi, est complété par un titre II 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II</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INFORMATION DES ACQUÉREURS</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unique</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Dispositions particulières relatives à la vente</w:t>
      </w:r>
      <w:r w:rsidRPr="00874A27">
        <w:rPr>
          <w:rFonts w:ascii="Arial" w:eastAsia="Times New Roman" w:hAnsi="Arial" w:cs="Arial"/>
          <w:color w:val="000000"/>
          <w:sz w:val="19"/>
          <w:szCs w:val="19"/>
          <w:lang w:eastAsia="fr-FR"/>
        </w:rPr>
        <w:br/>
        <w:t>d'un immeuble soumis au statut de la copropriété</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721-1. - Les annonces relatives à la vente d'un lot ou d'une fraction de lot d'un immeuble bâti soumis au statut de la copropriété mentionnent :</w:t>
      </w:r>
      <w:r w:rsidRPr="00874A27">
        <w:rPr>
          <w:rFonts w:ascii="Arial" w:eastAsia="Times New Roman" w:hAnsi="Arial" w:cs="Arial"/>
          <w:color w:val="000000"/>
          <w:sz w:val="19"/>
          <w:szCs w:val="19"/>
          <w:lang w:eastAsia="fr-FR"/>
        </w:rPr>
        <w:br/>
        <w:t>« 1° Le fait que le bien est soumis au statut de la copropriété ;</w:t>
      </w:r>
      <w:r w:rsidRPr="00874A27">
        <w:rPr>
          <w:rFonts w:ascii="Arial" w:eastAsia="Times New Roman" w:hAnsi="Arial" w:cs="Arial"/>
          <w:color w:val="000000"/>
          <w:sz w:val="19"/>
          <w:szCs w:val="19"/>
          <w:lang w:eastAsia="fr-FR"/>
        </w:rPr>
        <w:br/>
        <w:t>« 2° Le nombre de lots ;</w:t>
      </w:r>
      <w:r w:rsidRPr="00874A27">
        <w:rPr>
          <w:rFonts w:ascii="Arial" w:eastAsia="Times New Roman" w:hAnsi="Arial" w:cs="Arial"/>
          <w:color w:val="000000"/>
          <w:sz w:val="19"/>
          <w:szCs w:val="19"/>
          <w:lang w:eastAsia="fr-FR"/>
        </w:rPr>
        <w:br/>
        <w:t>« 3° Le montant moyen annuel de la quote-part, à la charge du vendeur, du budget prévisionnel correspondant aux dépenses courantes définies à l'</w:t>
      </w:r>
      <w:hyperlink r:id="rId232" w:history="1">
        <w:r w:rsidRPr="00874A27">
          <w:rPr>
            <w:rFonts w:ascii="Arial" w:eastAsia="Times New Roman" w:hAnsi="Arial" w:cs="Arial"/>
            <w:color w:val="336699"/>
            <w:sz w:val="19"/>
            <w:szCs w:val="19"/>
            <w:u w:val="single"/>
            <w:lang w:eastAsia="fr-FR"/>
          </w:rPr>
          <w:t>article 14-1 de la loi n° 65-557 du 10 juillet 1965</w:t>
        </w:r>
      </w:hyperlink>
      <w:r w:rsidRPr="00874A27">
        <w:rPr>
          <w:rFonts w:ascii="Arial" w:eastAsia="Times New Roman" w:hAnsi="Arial" w:cs="Arial"/>
          <w:color w:val="000000"/>
          <w:sz w:val="19"/>
          <w:szCs w:val="19"/>
          <w:lang w:eastAsia="fr-FR"/>
        </w:rPr>
        <w:t> fixant le statut de la copropriété des immeubles bâtis.</w:t>
      </w:r>
      <w:r w:rsidRPr="00874A27">
        <w:rPr>
          <w:rFonts w:ascii="Arial" w:eastAsia="Times New Roman" w:hAnsi="Arial" w:cs="Arial"/>
          <w:color w:val="000000"/>
          <w:sz w:val="19"/>
          <w:szCs w:val="19"/>
          <w:lang w:eastAsia="fr-FR"/>
        </w:rPr>
        <w:br/>
        <w:t>« Les annonces précisent également si le syndicat des copropriétaires fait l'objet de procédures menées sur le fondement des articles </w:t>
      </w:r>
      <w:hyperlink r:id="rId233" w:history="1">
        <w:r w:rsidRPr="00874A27">
          <w:rPr>
            <w:rFonts w:ascii="Arial" w:eastAsia="Times New Roman" w:hAnsi="Arial" w:cs="Arial"/>
            <w:color w:val="336699"/>
            <w:sz w:val="19"/>
            <w:szCs w:val="19"/>
            <w:u w:val="single"/>
            <w:lang w:eastAsia="fr-FR"/>
          </w:rPr>
          <w:t>29-1 A</w:t>
        </w:r>
      </w:hyperlink>
      <w:r w:rsidRPr="00874A27">
        <w:rPr>
          <w:rFonts w:ascii="Arial" w:eastAsia="Times New Roman" w:hAnsi="Arial" w:cs="Arial"/>
          <w:color w:val="000000"/>
          <w:sz w:val="19"/>
          <w:szCs w:val="19"/>
          <w:lang w:eastAsia="fr-FR"/>
        </w:rPr>
        <w:t> et </w:t>
      </w:r>
      <w:hyperlink r:id="rId234" w:history="1">
        <w:r w:rsidRPr="00874A27">
          <w:rPr>
            <w:rFonts w:ascii="Arial" w:eastAsia="Times New Roman" w:hAnsi="Arial" w:cs="Arial"/>
            <w:color w:val="336699"/>
            <w:sz w:val="19"/>
            <w:szCs w:val="19"/>
            <w:u w:val="single"/>
            <w:lang w:eastAsia="fr-FR"/>
          </w:rPr>
          <w:t>29-1</w:t>
        </w:r>
      </w:hyperlink>
      <w:r w:rsidRPr="00874A27">
        <w:rPr>
          <w:rFonts w:ascii="Arial" w:eastAsia="Times New Roman" w:hAnsi="Arial" w:cs="Arial"/>
          <w:color w:val="000000"/>
          <w:sz w:val="19"/>
          <w:szCs w:val="19"/>
          <w:lang w:eastAsia="fr-FR"/>
        </w:rPr>
        <w:t> de la loi n° 65-557 du 10 juillet 1965 précitée et de l'article L. 615-6 du présent code.</w:t>
      </w:r>
      <w:r w:rsidRPr="00874A27">
        <w:rPr>
          <w:rFonts w:ascii="Arial" w:eastAsia="Times New Roman" w:hAnsi="Arial" w:cs="Arial"/>
          <w:color w:val="000000"/>
          <w:sz w:val="19"/>
          <w:szCs w:val="19"/>
          <w:lang w:eastAsia="fr-FR"/>
        </w:rPr>
        <w:br/>
        <w:t>« Art. L. 721-2. - En cas de vente d'un lot ou d'une fraction de lot ou de cession d'un droit réel immobilier relatif à un lot ou à une fraction de lot d'un immeuble bâti à usage total ou partiel d'habitation et soumis au statut de la copropriété, sont annexés à la promesse de vente ou, à défaut de promesse, à l'acte authentique de vente, en sus du dossier de diagnostic technique mentionné à l'article L. 271-4, les documents suivants :</w:t>
      </w:r>
      <w:r w:rsidRPr="00874A27">
        <w:rPr>
          <w:rFonts w:ascii="Arial" w:eastAsia="Times New Roman" w:hAnsi="Arial" w:cs="Arial"/>
          <w:color w:val="000000"/>
          <w:sz w:val="19"/>
          <w:szCs w:val="19"/>
          <w:lang w:eastAsia="fr-FR"/>
        </w:rPr>
        <w:br/>
        <w:t>« 1° Les documents relatifs à l'organisation de l'immeuble :</w:t>
      </w:r>
      <w:r w:rsidRPr="00874A27">
        <w:rPr>
          <w:rFonts w:ascii="Arial" w:eastAsia="Times New Roman" w:hAnsi="Arial" w:cs="Arial"/>
          <w:color w:val="000000"/>
          <w:sz w:val="19"/>
          <w:szCs w:val="19"/>
          <w:lang w:eastAsia="fr-FR"/>
        </w:rPr>
        <w:br/>
        <w:t>« a) La fiche synthétique de la copropriété prévue à l'article 8-2 de la loi n° 65-557 du 10 juillet 1965 fixant le statut de la copropriété des immeubles bâtis ;</w:t>
      </w:r>
      <w:r w:rsidRPr="00874A27">
        <w:rPr>
          <w:rFonts w:ascii="Arial" w:eastAsia="Times New Roman" w:hAnsi="Arial" w:cs="Arial"/>
          <w:color w:val="000000"/>
          <w:sz w:val="19"/>
          <w:szCs w:val="19"/>
          <w:lang w:eastAsia="fr-FR"/>
        </w:rPr>
        <w:br/>
        <w:t>« b) Le règlement de copropriété et l'état descriptif de division ainsi que les actes les modifiant, s'ils ont été publiés ;</w:t>
      </w:r>
      <w:r w:rsidRPr="00874A27">
        <w:rPr>
          <w:rFonts w:ascii="Arial" w:eastAsia="Times New Roman" w:hAnsi="Arial" w:cs="Arial"/>
          <w:color w:val="000000"/>
          <w:sz w:val="19"/>
          <w:szCs w:val="19"/>
          <w:lang w:eastAsia="fr-FR"/>
        </w:rPr>
        <w:br/>
        <w:t>« c) Les procès-verbaux des assemblées générales des trois dernières années, si le copropriétaire vendeur en dispose ;</w:t>
      </w:r>
      <w:r w:rsidRPr="00874A27">
        <w:rPr>
          <w:rFonts w:ascii="Arial" w:eastAsia="Times New Roman" w:hAnsi="Arial" w:cs="Arial"/>
          <w:color w:val="000000"/>
          <w:sz w:val="19"/>
          <w:szCs w:val="19"/>
          <w:lang w:eastAsia="fr-FR"/>
        </w:rPr>
        <w:br/>
        <w:t>« 2° Les documents relatifs à la situation financière de la copropriété et du copropriétaire vendeur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a) Le montant des charges courantes du budget prévisionnel et des charges hors budget prévisionnel payées par le copropriétaire vendeur au titre des deux exercices comptables précédant la vente ;</w:t>
      </w:r>
      <w:r w:rsidRPr="00874A27">
        <w:rPr>
          <w:rFonts w:ascii="Arial" w:eastAsia="Times New Roman" w:hAnsi="Arial" w:cs="Arial"/>
          <w:color w:val="000000"/>
          <w:sz w:val="19"/>
          <w:szCs w:val="19"/>
          <w:lang w:eastAsia="fr-FR"/>
        </w:rPr>
        <w:br/>
        <w:t>« b) Les sommes pouvant rester dues par le copropriétaire vendeur au syndicat des copropriétaires et les sommes qui seront dues au syndicat par l'acquéreur ;</w:t>
      </w:r>
      <w:r w:rsidRPr="00874A27">
        <w:rPr>
          <w:rFonts w:ascii="Arial" w:eastAsia="Times New Roman" w:hAnsi="Arial" w:cs="Arial"/>
          <w:color w:val="000000"/>
          <w:sz w:val="19"/>
          <w:szCs w:val="19"/>
          <w:lang w:eastAsia="fr-FR"/>
        </w:rPr>
        <w:br/>
        <w:t>« c) L'état global des impayés de charges au sein du syndicat et de la dette vis-à-vis des fournisseurs ;</w:t>
      </w:r>
      <w:r w:rsidRPr="00874A27">
        <w:rPr>
          <w:rFonts w:ascii="Arial" w:eastAsia="Times New Roman" w:hAnsi="Arial" w:cs="Arial"/>
          <w:color w:val="000000"/>
          <w:sz w:val="19"/>
          <w:szCs w:val="19"/>
          <w:lang w:eastAsia="fr-FR"/>
        </w:rPr>
        <w:br/>
        <w:t>« d) Lorsque le syndicat des copropriétaires dispose d'un fonds de travaux, le montant de la part du fonds de travaux rattachée au lot principal vendu et le montant de la dernière cotisation au fonds versée par le copropriétaire vendeur au titre de son lot.</w:t>
      </w:r>
      <w:r w:rsidRPr="00874A27">
        <w:rPr>
          <w:rFonts w:ascii="Arial" w:eastAsia="Times New Roman" w:hAnsi="Arial" w:cs="Arial"/>
          <w:color w:val="000000"/>
          <w:sz w:val="19"/>
          <w:szCs w:val="19"/>
          <w:lang w:eastAsia="fr-FR"/>
        </w:rPr>
        <w:br/>
        <w:t>« Par exception, lorsque le syndicat de copropriétaires relève du </w:t>
      </w:r>
      <w:hyperlink r:id="rId235" w:history="1">
        <w:r w:rsidRPr="00874A27">
          <w:rPr>
            <w:rFonts w:ascii="Arial" w:eastAsia="Times New Roman" w:hAnsi="Arial" w:cs="Arial"/>
            <w:color w:val="336699"/>
            <w:sz w:val="19"/>
            <w:szCs w:val="19"/>
            <w:u w:val="single"/>
            <w:lang w:eastAsia="fr-FR"/>
          </w:rPr>
          <w:t>deuxième alinéa de l'article 14-3 de la loi n° 65-557 du 10 juillet 1965 précitée</w:t>
        </w:r>
      </w:hyperlink>
      <w:r w:rsidRPr="00874A27">
        <w:rPr>
          <w:rFonts w:ascii="Arial" w:eastAsia="Times New Roman" w:hAnsi="Arial" w:cs="Arial"/>
          <w:color w:val="000000"/>
          <w:sz w:val="19"/>
          <w:szCs w:val="19"/>
          <w:lang w:eastAsia="fr-FR"/>
        </w:rPr>
        <w:t>, les documents mentionnés aux b et c du présent 2° n'ont pas à être annexés à la promesse de vente ou, à défaut de promesse, à l'acte authentique de vente ;</w:t>
      </w:r>
      <w:r w:rsidRPr="00874A27">
        <w:rPr>
          <w:rFonts w:ascii="Arial" w:eastAsia="Times New Roman" w:hAnsi="Arial" w:cs="Arial"/>
          <w:color w:val="000000"/>
          <w:sz w:val="19"/>
          <w:szCs w:val="19"/>
          <w:lang w:eastAsia="fr-FR"/>
        </w:rPr>
        <w:br/>
        <w:t>« 3° Le carnet d'entretien de l'immeuble ;</w:t>
      </w:r>
      <w:r w:rsidRPr="00874A27">
        <w:rPr>
          <w:rFonts w:ascii="Arial" w:eastAsia="Times New Roman" w:hAnsi="Arial" w:cs="Arial"/>
          <w:color w:val="000000"/>
          <w:sz w:val="19"/>
          <w:szCs w:val="19"/>
          <w:lang w:eastAsia="fr-FR"/>
        </w:rPr>
        <w:br/>
        <w:t>« 4° Une attestation comportant la mention de la superficie de la partie privative et de la surface habitable de ce lot ou de cette fraction de lot, prévues à l'</w:t>
      </w:r>
      <w:hyperlink r:id="rId236" w:history="1">
        <w:r w:rsidRPr="00874A27">
          <w:rPr>
            <w:rFonts w:ascii="Arial" w:eastAsia="Times New Roman" w:hAnsi="Arial" w:cs="Arial"/>
            <w:color w:val="336699"/>
            <w:sz w:val="19"/>
            <w:szCs w:val="19"/>
            <w:u w:val="single"/>
            <w:lang w:eastAsia="fr-FR"/>
          </w:rPr>
          <w:t>article 46 de la loi n° 65-557 du 10 juillet 1965 précitée</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 5° Une notice d'information relative aux droits et obligations des copropriétaires ainsi qu'au fonctionnement des instances du syndicat de copropriété. Un arrêté du ministre chargé du logement détermine le contenu de cette notice ;</w:t>
      </w:r>
      <w:r w:rsidRPr="00874A27">
        <w:rPr>
          <w:rFonts w:ascii="Arial" w:eastAsia="Times New Roman" w:hAnsi="Arial" w:cs="Arial"/>
          <w:color w:val="000000"/>
          <w:sz w:val="19"/>
          <w:szCs w:val="19"/>
          <w:lang w:eastAsia="fr-FR"/>
        </w:rPr>
        <w:br/>
        <w:t>« 6° Le cas échéant, le diagnostic technique global prévu à l'article L. 731-1 et le plan pluriannuel de travaux prévu à l'article L. 731-2.</w:t>
      </w:r>
      <w:r w:rsidRPr="00874A27">
        <w:rPr>
          <w:rFonts w:ascii="Arial" w:eastAsia="Times New Roman" w:hAnsi="Arial" w:cs="Arial"/>
          <w:color w:val="000000"/>
          <w:sz w:val="19"/>
          <w:szCs w:val="19"/>
          <w:lang w:eastAsia="fr-FR"/>
        </w:rPr>
        <w:br/>
        <w:t>« A défaut d'annexion à la promesse de vente ou, à défaut de promesse, à l'acte authentique de vente, l'acquéreur reconnaît que le notaire ou le vendeur lui a remis le règlement de copropriété, le carnet d'entretien et l'état descriptif de division.</w:t>
      </w:r>
      <w:r w:rsidRPr="00874A27">
        <w:rPr>
          <w:rFonts w:ascii="Arial" w:eastAsia="Times New Roman" w:hAnsi="Arial" w:cs="Arial"/>
          <w:color w:val="000000"/>
          <w:sz w:val="19"/>
          <w:szCs w:val="19"/>
          <w:lang w:eastAsia="fr-FR"/>
        </w:rPr>
        <w:br/>
        <w:t>« En cas de vente publique, les documents mentionnés aux 1° à 6° sont annexés au cahier des charges.</w:t>
      </w:r>
      <w:r w:rsidRPr="00874A27">
        <w:rPr>
          <w:rFonts w:ascii="Arial" w:eastAsia="Times New Roman" w:hAnsi="Arial" w:cs="Arial"/>
          <w:color w:val="000000"/>
          <w:sz w:val="19"/>
          <w:szCs w:val="19"/>
          <w:lang w:eastAsia="fr-FR"/>
        </w:rPr>
        <w:br/>
        <w:t>« Art. L. 721-3. - Lorsque les documents mentionnés aux 1°, 2° et 4° de l'article L. 721-2 ne sont pas annexés à l'acte notifié conformément à l'article L. 271-1, le délai de rétractation ou de réflexion, prévu à ce même article, ne court qu'à compter du lendemain de la communication de ces documents à l'acquéreur. Cette communication est réalisée selon les modalités de notification de l'acte prévues audit article L. 271-1. »</w:t>
      </w:r>
      <w:r w:rsidRPr="00874A27">
        <w:rPr>
          <w:rFonts w:ascii="Arial" w:eastAsia="Times New Roman" w:hAnsi="Arial" w:cs="Arial"/>
          <w:color w:val="000000"/>
          <w:sz w:val="19"/>
          <w:szCs w:val="19"/>
          <w:lang w:eastAsia="fr-FR"/>
        </w:rPr>
        <w:br/>
        <w:t>IV. - L'article 8-2 de la loi n° 65-557 du 10 juillet 1965 fixant le statut de la copropriété des immeubles bâtis et le a du 1° de l'article L. 721-2 du code de la construction et de l'habitation sont applicables à compter du :</w:t>
      </w:r>
      <w:r w:rsidRPr="00874A27">
        <w:rPr>
          <w:rFonts w:ascii="Arial" w:eastAsia="Times New Roman" w:hAnsi="Arial" w:cs="Arial"/>
          <w:color w:val="000000"/>
          <w:sz w:val="19"/>
          <w:szCs w:val="19"/>
          <w:lang w:eastAsia="fr-FR"/>
        </w:rPr>
        <w:br/>
        <w:t>1° 31 décembre 2016, pour les syndicats de copropriétaires comportant plus de 200 lots ;</w:t>
      </w:r>
      <w:r w:rsidRPr="00874A27">
        <w:rPr>
          <w:rFonts w:ascii="Arial" w:eastAsia="Times New Roman" w:hAnsi="Arial" w:cs="Arial"/>
          <w:color w:val="000000"/>
          <w:sz w:val="19"/>
          <w:szCs w:val="19"/>
          <w:lang w:eastAsia="fr-FR"/>
        </w:rPr>
        <w:br/>
        <w:t>2° 31 décembre 2017, pour les syndicats de copropriétaires comportant plus de 50 lots ;</w:t>
      </w:r>
      <w:r w:rsidRPr="00874A27">
        <w:rPr>
          <w:rFonts w:ascii="Arial" w:eastAsia="Times New Roman" w:hAnsi="Arial" w:cs="Arial"/>
          <w:color w:val="000000"/>
          <w:sz w:val="19"/>
          <w:szCs w:val="19"/>
          <w:lang w:eastAsia="fr-FR"/>
        </w:rPr>
        <w:br/>
        <w:t>3° 31 décembre 2018, pour les autres syndicats de copropriétaires.</w:t>
      </w:r>
      <w:r w:rsidRPr="00874A27">
        <w:rPr>
          <w:rFonts w:ascii="Arial" w:eastAsia="Times New Roman" w:hAnsi="Arial" w:cs="Arial"/>
          <w:color w:val="000000"/>
          <w:sz w:val="19"/>
          <w:szCs w:val="19"/>
          <w:lang w:eastAsia="fr-FR"/>
        </w:rPr>
        <w:br/>
        <w:t>V. - Le II du présent article est applicable aux promesses de vente ou d'achat et aux actes authentiques de vente d'un lot ou d'une fraction de lot de copropriété conclus au plus tôt trois mois après la promulgation de la présente loi.</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3 : Améliorer la gouvernance et la gestion de la copropriété pour prévenir son endettement</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54" w:name="JORFARTI000028773483"/>
      <w:bookmarkEnd w:id="54"/>
      <w:r w:rsidRPr="00874A27">
        <w:rPr>
          <w:rFonts w:ascii="Arial" w:eastAsia="Times New Roman" w:hAnsi="Arial" w:cs="Arial"/>
          <w:b/>
          <w:bCs/>
          <w:color w:val="000000"/>
          <w:sz w:val="23"/>
          <w:szCs w:val="23"/>
          <w:lang w:eastAsia="fr-FR"/>
        </w:rPr>
        <w:t>Article 55 </w:t>
      </w:r>
      <w:hyperlink r:id="rId237" w:tooltip="En savoir plus sur l'article 5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 loi n° 65-557 du 10 juillet 1965 précitée est ainsi modifiée :</w:t>
      </w:r>
      <w:r w:rsidRPr="00874A27">
        <w:rPr>
          <w:rFonts w:ascii="Arial" w:eastAsia="Times New Roman" w:hAnsi="Arial" w:cs="Arial"/>
          <w:color w:val="000000"/>
          <w:sz w:val="19"/>
          <w:szCs w:val="19"/>
          <w:lang w:eastAsia="fr-FR"/>
        </w:rPr>
        <w:br/>
        <w:t>1° L'article 17 est ainsi modifié :</w:t>
      </w:r>
      <w:r w:rsidRPr="00874A27">
        <w:rPr>
          <w:rFonts w:ascii="Arial" w:eastAsia="Times New Roman" w:hAnsi="Arial" w:cs="Arial"/>
          <w:color w:val="000000"/>
          <w:sz w:val="19"/>
          <w:szCs w:val="19"/>
          <w:lang w:eastAsia="fr-FR"/>
        </w:rPr>
        <w:br/>
        <w:t>a) Au deuxième alinéa, après la première occurrence du mot : « générale », sont insérés les mots : « suivant la mise en copropriété » et, après les mots : « un syndic », il est inséré le mot : « provisoire » ;</w:t>
      </w:r>
      <w:r w:rsidRPr="00874A27">
        <w:rPr>
          <w:rFonts w:ascii="Arial" w:eastAsia="Times New Roman" w:hAnsi="Arial" w:cs="Arial"/>
          <w:color w:val="000000"/>
          <w:sz w:val="19"/>
          <w:szCs w:val="19"/>
          <w:lang w:eastAsia="fr-FR"/>
        </w:rPr>
        <w:br/>
        <w:t>b) Après le mot : « parties, », la fin du même alinéa est ainsi rédigée : « ce syndic ne peut être maintenu que par décision de l'assemblée générale, après mise en concurrence préalable de plusieurs contrats de syndics effectuée par le conseil syndical, s'il en existe un, ou les copropriétaires. » ;</w:t>
      </w:r>
      <w:r w:rsidRPr="00874A27">
        <w:rPr>
          <w:rFonts w:ascii="Arial" w:eastAsia="Times New Roman" w:hAnsi="Arial" w:cs="Arial"/>
          <w:color w:val="000000"/>
          <w:sz w:val="19"/>
          <w:szCs w:val="19"/>
          <w:lang w:eastAsia="fr-FR"/>
        </w:rPr>
        <w:br/>
        <w:t>c) Le dernier alinéa est complété par les mots : « , du maire de la commune ou du président de l'établissement public de coopération intercommunale compétent en matière d'habitat du lieu de situation de l'immeuble » ;</w:t>
      </w:r>
      <w:r w:rsidRPr="00874A27">
        <w:rPr>
          <w:rFonts w:ascii="Arial" w:eastAsia="Times New Roman" w:hAnsi="Arial" w:cs="Arial"/>
          <w:color w:val="000000"/>
          <w:sz w:val="19"/>
          <w:szCs w:val="19"/>
          <w:lang w:eastAsia="fr-FR"/>
        </w:rPr>
        <w:br/>
        <w:t>2° Après l'article 17-1, il est inséré un article 17-2 ainsi rédigé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Art. 17-2. - Tout syndic non professionnel, bénévole ou coopératif, doit être copropriétaire d'un ou plusieurs lots ou fractions de lots dans la copropriété qu'il est amené à gérer. » ;</w:t>
      </w:r>
      <w:r w:rsidRPr="00874A27">
        <w:rPr>
          <w:rFonts w:ascii="Arial" w:eastAsia="Times New Roman" w:hAnsi="Arial" w:cs="Arial"/>
          <w:color w:val="000000"/>
          <w:sz w:val="19"/>
          <w:szCs w:val="19"/>
          <w:lang w:eastAsia="fr-FR"/>
        </w:rPr>
        <w:br/>
        <w:t>3° L'article 18 est ainsi modifié :</w:t>
      </w:r>
      <w:r w:rsidRPr="00874A27">
        <w:rPr>
          <w:rFonts w:ascii="Arial" w:eastAsia="Times New Roman" w:hAnsi="Arial" w:cs="Arial"/>
          <w:color w:val="000000"/>
          <w:sz w:val="19"/>
          <w:szCs w:val="19"/>
          <w:lang w:eastAsia="fr-FR"/>
        </w:rPr>
        <w:br/>
        <w:t>a) Au début du premier alinéa, est ajoutée la mention : « I. ― » ;</w:t>
      </w:r>
      <w:r w:rsidRPr="00874A27">
        <w:rPr>
          <w:rFonts w:ascii="Arial" w:eastAsia="Times New Roman" w:hAnsi="Arial" w:cs="Arial"/>
          <w:color w:val="000000"/>
          <w:sz w:val="19"/>
          <w:szCs w:val="19"/>
          <w:lang w:eastAsia="fr-FR"/>
        </w:rPr>
        <w:br/>
        <w:t>b) Après le troisième alinéa, sont insérés quatre alinéas ainsi rédigés :</w:t>
      </w:r>
      <w:r w:rsidRPr="00874A27">
        <w:rPr>
          <w:rFonts w:ascii="Arial" w:eastAsia="Times New Roman" w:hAnsi="Arial" w:cs="Arial"/>
          <w:color w:val="000000"/>
          <w:sz w:val="19"/>
          <w:szCs w:val="19"/>
          <w:lang w:eastAsia="fr-FR"/>
        </w:rPr>
        <w:br/>
        <w:t>« ― de soumettre au vote de l'assemblée générale, à la majorité de l'article 24, la décision de souscrire un contrat d'assurance contre les risques de responsabilité civile dont le syndicat doit répondre. En cas de refus de l'assemblée générale, l'assurance peut être contractée par le syndic pour le compte du syndicat des copropriétaires, en application de l'</w:t>
      </w:r>
      <w:hyperlink r:id="rId238" w:history="1">
        <w:r w:rsidRPr="00874A27">
          <w:rPr>
            <w:rFonts w:ascii="Arial" w:eastAsia="Times New Roman" w:hAnsi="Arial" w:cs="Arial"/>
            <w:color w:val="336699"/>
            <w:sz w:val="19"/>
            <w:szCs w:val="19"/>
            <w:u w:val="single"/>
            <w:lang w:eastAsia="fr-FR"/>
          </w:rPr>
          <w:t>article L. 112-1 du code des assurances</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 ― de représenter le syndicat dans tous les actes civils et en justice dans les cas mentionnés aux articles 15 et 16 de la présente loi, ainsi que pour la publication de l'état descriptif de division et du règlement de copropriété ou des modifications apportées à ces actes, sans que soit nécessaire l'intervention de chaque copropriétaire à l'acte ou à la réquisition de publication ;</w:t>
      </w:r>
      <w:r w:rsidRPr="00874A27">
        <w:rPr>
          <w:rFonts w:ascii="Arial" w:eastAsia="Times New Roman" w:hAnsi="Arial" w:cs="Arial"/>
          <w:color w:val="000000"/>
          <w:sz w:val="19"/>
          <w:szCs w:val="19"/>
          <w:lang w:eastAsia="fr-FR"/>
        </w:rPr>
        <w:br/>
        <w:t>« ― de soumettre au vote de l'assemblée générale, à la majorité de l'article 25, la décision de confier les archives du syndicat des copropriétaires à une entreprise spécialisée aux frais dudit syndicat. Une telle décision ne peut donner lieu à aucune rémunération complémentaire au profit du syndic ;</w:t>
      </w:r>
      <w:r w:rsidRPr="00874A27">
        <w:rPr>
          <w:rFonts w:ascii="Arial" w:eastAsia="Times New Roman" w:hAnsi="Arial" w:cs="Arial"/>
          <w:color w:val="000000"/>
          <w:sz w:val="19"/>
          <w:szCs w:val="19"/>
          <w:lang w:eastAsia="fr-FR"/>
        </w:rPr>
        <w:br/>
        <w:t>« ― de soumettre à l'autorisation de l'assemblée générale prise à la majorité de l'article 24 toute convention passée entre le syndicat et le syndic ou une personne ou une entreprise liée directement ou indirectement au syndic dont la liste est fixée par décret, en précisant la nature des liens qui rendent nécessaire l'autorisation de la convention. Les conventions conclues en méconnaissance de ces dispositions ne sont pas opposables au syndicat ; » ;</w:t>
      </w:r>
      <w:r w:rsidRPr="00874A27">
        <w:rPr>
          <w:rFonts w:ascii="Arial" w:eastAsia="Times New Roman" w:hAnsi="Arial" w:cs="Arial"/>
          <w:color w:val="000000"/>
          <w:sz w:val="19"/>
          <w:szCs w:val="19"/>
          <w:lang w:eastAsia="fr-FR"/>
        </w:rPr>
        <w:br/>
        <w:t>c) Au quatrième alinéa, après le mot : « jour », sont insérés les mots : « et à disposition des copropriétaires » ;</w:t>
      </w:r>
      <w:r w:rsidRPr="00874A27">
        <w:rPr>
          <w:rFonts w:ascii="Arial" w:eastAsia="Times New Roman" w:hAnsi="Arial" w:cs="Arial"/>
          <w:color w:val="000000"/>
          <w:sz w:val="19"/>
          <w:szCs w:val="19"/>
          <w:lang w:eastAsia="fr-FR"/>
        </w:rPr>
        <w:br/>
        <w:t>d) Après le quatrième alinéa, sont insérés quatre alinéas ainsi rédigés :</w:t>
      </w:r>
      <w:r w:rsidRPr="00874A27">
        <w:rPr>
          <w:rFonts w:ascii="Arial" w:eastAsia="Times New Roman" w:hAnsi="Arial" w:cs="Arial"/>
          <w:color w:val="000000"/>
          <w:sz w:val="19"/>
          <w:szCs w:val="19"/>
          <w:lang w:eastAsia="fr-FR"/>
        </w:rPr>
        <w:br/>
        <w:t>« ― de réaliser les démarches prévues aux articles L. 711-1 à L. 711-6 du code de la construction et de l'habitation relatifs à l'immatriculation du syndicat de copropriétaires, sous peine de l'astreinte prévue au même article L. 711-6 ;</w:t>
      </w:r>
      <w:r w:rsidRPr="00874A27">
        <w:rPr>
          <w:rFonts w:ascii="Arial" w:eastAsia="Times New Roman" w:hAnsi="Arial" w:cs="Arial"/>
          <w:color w:val="000000"/>
          <w:sz w:val="19"/>
          <w:szCs w:val="19"/>
          <w:lang w:eastAsia="fr-FR"/>
        </w:rPr>
        <w:br/>
        <w:t>« ― d'assurer l'information des occupants de chaque immeuble de la copropriété des décisions prises par l'assemblée générale, selon des modalités définies par décret ;</w:t>
      </w:r>
      <w:r w:rsidRPr="00874A27">
        <w:rPr>
          <w:rFonts w:ascii="Arial" w:eastAsia="Times New Roman" w:hAnsi="Arial" w:cs="Arial"/>
          <w:color w:val="000000"/>
          <w:sz w:val="19"/>
          <w:szCs w:val="19"/>
          <w:lang w:eastAsia="fr-FR"/>
        </w:rPr>
        <w:br/>
        <w:t>« ― de proposer, à compter du 1er janvier 2015, lorsque le syndic est un syndic professionnel, un accès en ligne sécurisé aux documents dématérialisés relatifs à la gestion de l'immeuble ou des lots gérés, sauf décision contraire de l'assemblée générale prise à la majorité de l'article 25 de la présente loi. Cet accès est différencié selon la nature des documents mis à la disposition des membres du syndicat de copropriétaires ou de ceux du conseil syndical.</w:t>
      </w:r>
      <w:r w:rsidRPr="00874A27">
        <w:rPr>
          <w:rFonts w:ascii="Arial" w:eastAsia="Times New Roman" w:hAnsi="Arial" w:cs="Arial"/>
          <w:color w:val="000000"/>
          <w:sz w:val="19"/>
          <w:szCs w:val="19"/>
          <w:lang w:eastAsia="fr-FR"/>
        </w:rPr>
        <w:br/>
        <w:t>« II. ― Le syndic assure la gestion comptable et financière du syndicat et, à ce titre, est chargé : » ;</w:t>
      </w:r>
      <w:r w:rsidRPr="00874A27">
        <w:rPr>
          <w:rFonts w:ascii="Arial" w:eastAsia="Times New Roman" w:hAnsi="Arial" w:cs="Arial"/>
          <w:color w:val="000000"/>
          <w:sz w:val="19"/>
          <w:szCs w:val="19"/>
          <w:lang w:eastAsia="fr-FR"/>
        </w:rPr>
        <w:br/>
        <w:t>e) Au cinquième alinéa, après le mot : « prévisionnel », sont insérés les mots : « en concertation avec le conseil syndical » ;</w:t>
      </w:r>
      <w:r w:rsidRPr="00874A27">
        <w:rPr>
          <w:rFonts w:ascii="Arial" w:eastAsia="Times New Roman" w:hAnsi="Arial" w:cs="Arial"/>
          <w:color w:val="000000"/>
          <w:sz w:val="19"/>
          <w:szCs w:val="19"/>
          <w:lang w:eastAsia="fr-FR"/>
        </w:rPr>
        <w:br/>
        <w:t>f) Le septième alinéa est ainsi rédigé :</w:t>
      </w:r>
      <w:r w:rsidRPr="00874A27">
        <w:rPr>
          <w:rFonts w:ascii="Arial" w:eastAsia="Times New Roman" w:hAnsi="Arial" w:cs="Arial"/>
          <w:color w:val="000000"/>
          <w:sz w:val="19"/>
          <w:szCs w:val="19"/>
          <w:lang w:eastAsia="fr-FR"/>
        </w:rPr>
        <w:br/>
        <w:t>« ― d'ouvrir, dans l'établissement bancaire qu'il choisit, un compte séparé au nom du syndicat, sur lequel sont versées sans délai toutes les sommes ou valeurs reçues au nom ou pour le compte du syndicat. L'assemblée générale peut décider, à la majorité de l'article 25, que ce compte est ouvert dans un autre établissement bancaire de son choix. Ce compte bancaire ne peut faire l'objet ni d'une convention de fusion, ni d'une compensation avec tout autre compte. Les éventuels intérêts produits par ce compte sont définitivement acquis au syndicat. La méconnaissance par le syndic de ces obligations emporte la nullité de plein droit de son mandat à l'expiration du délai de trois mois suivant sa désignation. Toutefois, les actes qu'il a passés avec des tiers de bonne foi demeurent valables. Le syndic met à disposition du conseil syndical une copie des relevés périodiques du compte, dès réception de ceux-ci. Toutefois, lorsque le syndicat comporte au plus quinze lots à usage de logements, de bureaux ou de commerces, l'assemblée générale peut, à la majorité de l'article 25 et, le cas échéant, de l'article 25-1, dispenser le syndic soumis à la </w:t>
      </w:r>
      <w:hyperlink r:id="rId239" w:history="1">
        <w:r w:rsidRPr="00874A27">
          <w:rPr>
            <w:rFonts w:ascii="Arial" w:eastAsia="Times New Roman" w:hAnsi="Arial" w:cs="Arial"/>
            <w:color w:val="336699"/>
            <w:sz w:val="19"/>
            <w:szCs w:val="19"/>
            <w:u w:val="single"/>
            <w:lang w:eastAsia="fr-FR"/>
          </w:rPr>
          <w:t>loi n° 70-9 du 2 janvier 1970</w:t>
        </w:r>
      </w:hyperlink>
      <w:r w:rsidRPr="00874A27">
        <w:rPr>
          <w:rFonts w:ascii="Arial" w:eastAsia="Times New Roman" w:hAnsi="Arial" w:cs="Arial"/>
          <w:color w:val="000000"/>
          <w:sz w:val="19"/>
          <w:szCs w:val="19"/>
          <w:lang w:eastAsia="fr-FR"/>
        </w:rPr>
        <w:t> réglementant les conditions d'exercice des activités relatives à certaines opérations portant sur les immeubles et les fonds de commerce, ou dont l'activité est soumise à une réglementation professionnelle organisant le maniement des fonds du syndicat, d'ouvrir un compte bancaire séparé au nom du syndicat. Le compte unique fait apparaître dans les écritures de l'établissement bancaire un sous-compte individualisant comptablement les versements et prélèvements afférents au syndicat. Le syndic effectue sur ce sous-compte, sans délai, les versements des sommes et valeurs appartenant au syndicat et y reporte les dépenses effectuées pour son compte. Le syndic transmet au président du conseil syndical une copie des relevés périodiques bancaires du sous-compte, dès réception de ceux-ci. Dans ce cas, le syndic ne peut pas proposer une rémunération différenciée en fonction de la décision de l'assemblée relative à la dispense de compte bancaire séparé ; » ;</w:t>
      </w:r>
      <w:r w:rsidRPr="00874A27">
        <w:rPr>
          <w:rFonts w:ascii="Arial" w:eastAsia="Times New Roman" w:hAnsi="Arial" w:cs="Arial"/>
          <w:color w:val="000000"/>
          <w:sz w:val="19"/>
          <w:szCs w:val="19"/>
          <w:lang w:eastAsia="fr-FR"/>
        </w:rPr>
        <w:br/>
        <w:t>g) Après le huitième alinéa, sont insérés deux alinéas ainsi rédigés :</w:t>
      </w:r>
      <w:r w:rsidRPr="00874A27">
        <w:rPr>
          <w:rFonts w:ascii="Arial" w:eastAsia="Times New Roman" w:hAnsi="Arial" w:cs="Arial"/>
          <w:color w:val="000000"/>
          <w:sz w:val="19"/>
          <w:szCs w:val="19"/>
          <w:lang w:eastAsia="fr-FR"/>
        </w:rPr>
        <w:br/>
        <w:t>« A l'exception du syndic provisoire, le syndic de copropriété ne peut avancer de fonds au syndicat de copropriétaires.</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III. ― Le syndic est également chargé : » ;</w:t>
      </w:r>
      <w:r w:rsidRPr="00874A27">
        <w:rPr>
          <w:rFonts w:ascii="Arial" w:eastAsia="Times New Roman" w:hAnsi="Arial" w:cs="Arial"/>
          <w:color w:val="000000"/>
          <w:sz w:val="19"/>
          <w:szCs w:val="19"/>
          <w:lang w:eastAsia="fr-FR"/>
        </w:rPr>
        <w:br/>
        <w:t>h) Au début de l'avant-dernier alinéa, est ajoutée la mention : « IV. ― » ;</w:t>
      </w:r>
      <w:r w:rsidRPr="00874A27">
        <w:rPr>
          <w:rFonts w:ascii="Arial" w:eastAsia="Times New Roman" w:hAnsi="Arial" w:cs="Arial"/>
          <w:color w:val="000000"/>
          <w:sz w:val="19"/>
          <w:szCs w:val="19"/>
          <w:lang w:eastAsia="fr-FR"/>
        </w:rPr>
        <w:br/>
        <w:t>i) Le dernier alinéa est ainsi rédigé :</w:t>
      </w:r>
      <w:r w:rsidRPr="00874A27">
        <w:rPr>
          <w:rFonts w:ascii="Arial" w:eastAsia="Times New Roman" w:hAnsi="Arial" w:cs="Arial"/>
          <w:color w:val="000000"/>
          <w:sz w:val="19"/>
          <w:szCs w:val="19"/>
          <w:lang w:eastAsia="fr-FR"/>
        </w:rPr>
        <w:br/>
        <w:t>« V. ― En cas d'empêchement du syndic, pour quelque cause que ce soit, le président du conseil syndical peut convoquer une assemblée générale appelée à désigner un nouveau syndic. En cas de carence du syndic et à défaut de stipulation du règlement de copropriété, un administrateur provisoire peut être désigné par décision de justice. » ;</w:t>
      </w:r>
      <w:r w:rsidRPr="00874A27">
        <w:rPr>
          <w:rFonts w:ascii="Arial" w:eastAsia="Times New Roman" w:hAnsi="Arial" w:cs="Arial"/>
          <w:color w:val="000000"/>
          <w:sz w:val="19"/>
          <w:szCs w:val="19"/>
          <w:lang w:eastAsia="fr-FR"/>
        </w:rPr>
        <w:br/>
        <w:t>j) Sont ajoutés deux alinéas ainsi rédigés :</w:t>
      </w:r>
      <w:r w:rsidRPr="00874A27">
        <w:rPr>
          <w:rFonts w:ascii="Arial" w:eastAsia="Times New Roman" w:hAnsi="Arial" w:cs="Arial"/>
          <w:color w:val="000000"/>
          <w:sz w:val="19"/>
          <w:szCs w:val="19"/>
          <w:lang w:eastAsia="fr-FR"/>
        </w:rPr>
        <w:br/>
        <w:t>« Le syndic ne peut renoncer à son mandat sans avoir respecté un délai de préavis de trois mois.</w:t>
      </w:r>
      <w:r w:rsidRPr="00874A27">
        <w:rPr>
          <w:rFonts w:ascii="Arial" w:eastAsia="Times New Roman" w:hAnsi="Arial" w:cs="Arial"/>
          <w:color w:val="000000"/>
          <w:sz w:val="19"/>
          <w:szCs w:val="19"/>
          <w:lang w:eastAsia="fr-FR"/>
        </w:rPr>
        <w:br/>
        <w:t>« Quand l'assemblée générale délibère pour désigner un nouveau syndic dont la prise de fonction intervient avant le terme du mandat du syndic actuel, cette décision vaut révocation de ce dernier à compter de la prise de fonction du nouveau syndic. » ;</w:t>
      </w:r>
      <w:r w:rsidRPr="00874A27">
        <w:rPr>
          <w:rFonts w:ascii="Arial" w:eastAsia="Times New Roman" w:hAnsi="Arial" w:cs="Arial"/>
          <w:color w:val="000000"/>
          <w:sz w:val="19"/>
          <w:szCs w:val="19"/>
          <w:lang w:eastAsia="fr-FR"/>
        </w:rPr>
        <w:br/>
        <w:t>4° Après l'article 18, il est inséré un article 18-1 AA ainsi rédigé :</w:t>
      </w:r>
      <w:r w:rsidRPr="00874A27">
        <w:rPr>
          <w:rFonts w:ascii="Arial" w:eastAsia="Times New Roman" w:hAnsi="Arial" w:cs="Arial"/>
          <w:color w:val="000000"/>
          <w:sz w:val="19"/>
          <w:szCs w:val="19"/>
          <w:lang w:eastAsia="fr-FR"/>
        </w:rPr>
        <w:br/>
        <w:t>« Art. 18-1 AA. - Pour les immeubles à destination totale autre que d'habitation, lorsqu'un syndicat de copropriétaires est composé exclusivement de personnes morales, les copropriétaires peuvent décider, à la majorité définie à l'article 25, de déroger à l'article 18 et, le cas échéant, de définir avec le syndic, dans le cadre de son contrat, les missions du syndic, les honoraires de celui-ci, la durée du mandat, les modalités de fonctionnement du compte bancaire unique ou séparé et les modalités de perception des fonds. » ;</w:t>
      </w:r>
      <w:r w:rsidRPr="00874A27">
        <w:rPr>
          <w:rFonts w:ascii="Arial" w:eastAsia="Times New Roman" w:hAnsi="Arial" w:cs="Arial"/>
          <w:color w:val="000000"/>
          <w:sz w:val="19"/>
          <w:szCs w:val="19"/>
          <w:lang w:eastAsia="fr-FR"/>
        </w:rPr>
        <w:br/>
        <w:t>5° L'article 18-1 A est ainsi modifié :</w:t>
      </w:r>
      <w:r w:rsidRPr="00874A27">
        <w:rPr>
          <w:rFonts w:ascii="Arial" w:eastAsia="Times New Roman" w:hAnsi="Arial" w:cs="Arial"/>
          <w:color w:val="000000"/>
          <w:sz w:val="19"/>
          <w:szCs w:val="19"/>
          <w:lang w:eastAsia="fr-FR"/>
        </w:rPr>
        <w:br/>
        <w:t>a) Au début, sont ajoutés trois alinéas ainsi rédigés :</w:t>
      </w:r>
      <w:r w:rsidRPr="00874A27">
        <w:rPr>
          <w:rFonts w:ascii="Arial" w:eastAsia="Times New Roman" w:hAnsi="Arial" w:cs="Arial"/>
          <w:color w:val="000000"/>
          <w:sz w:val="19"/>
          <w:szCs w:val="19"/>
          <w:lang w:eastAsia="fr-FR"/>
        </w:rPr>
        <w:br/>
        <w:t>« La rémunération des syndics est déterminée de manière forfaitaire. Toutefois, une rémunération spécifique complémentaire peut être perçue à l'occasion de prestations particulières, définies par décret en Conseil d'Etat.</w:t>
      </w:r>
      <w:r w:rsidRPr="00874A27">
        <w:rPr>
          <w:rFonts w:ascii="Arial" w:eastAsia="Times New Roman" w:hAnsi="Arial" w:cs="Arial"/>
          <w:color w:val="000000"/>
          <w:sz w:val="19"/>
          <w:szCs w:val="19"/>
          <w:lang w:eastAsia="fr-FR"/>
        </w:rPr>
        <w:br/>
        <w:t>« Le décret prévu au premier alinéa fait l'objet d'une concertation bisannuelle en vue de son éventuelle révision. Cette concertation est organisée par le ministre chargé du logement et associe notamment le Conseil national de la transaction et de la gestion immobilières créé en application de l'article 13-1 de la loi n° 70-9 du 2 janvier 1970 réglementant les conditions d'exercice des activités relatives à certaines opérations portant sur les immeubles et les fonds de commerce.</w:t>
      </w:r>
      <w:r w:rsidRPr="00874A27">
        <w:rPr>
          <w:rFonts w:ascii="Arial" w:eastAsia="Times New Roman" w:hAnsi="Arial" w:cs="Arial"/>
          <w:color w:val="000000"/>
          <w:sz w:val="19"/>
          <w:szCs w:val="19"/>
          <w:lang w:eastAsia="fr-FR"/>
        </w:rPr>
        <w:br/>
        <w:t>« Le contrat de syndic respecte un contrat type défini par décret en Conseil d'Etat. » ;</w:t>
      </w:r>
      <w:r w:rsidRPr="00874A27">
        <w:rPr>
          <w:rFonts w:ascii="Arial" w:eastAsia="Times New Roman" w:hAnsi="Arial" w:cs="Arial"/>
          <w:color w:val="000000"/>
          <w:sz w:val="19"/>
          <w:szCs w:val="19"/>
          <w:lang w:eastAsia="fr-FR"/>
        </w:rPr>
        <w:br/>
        <w:t>b) Au début de la première phrase, les mots : « Seuls les » sont remplacés par le mot : « Les » ;</w:t>
      </w:r>
      <w:r w:rsidRPr="00874A27">
        <w:rPr>
          <w:rFonts w:ascii="Arial" w:eastAsia="Times New Roman" w:hAnsi="Arial" w:cs="Arial"/>
          <w:color w:val="000000"/>
          <w:sz w:val="19"/>
          <w:szCs w:val="19"/>
          <w:lang w:eastAsia="fr-FR"/>
        </w:rPr>
        <w:br/>
        <w:t>c) Il est ajouté un alinéa ainsi rédigé :</w:t>
      </w:r>
      <w:r w:rsidRPr="00874A27">
        <w:rPr>
          <w:rFonts w:ascii="Arial" w:eastAsia="Times New Roman" w:hAnsi="Arial" w:cs="Arial"/>
          <w:color w:val="000000"/>
          <w:sz w:val="19"/>
          <w:szCs w:val="19"/>
          <w:lang w:eastAsia="fr-FR"/>
        </w:rPr>
        <w:br/>
        <w:t>« Le syndic ne peut en aucun cas mentionner, dans le contrat de syndic soumis au vote de l'assemblée générale de la copropriété, de barème relatif à ces honoraires spécifiques, même à titre indicatif. Une telle rémunération fixée dans le projet de résolution soumis au vote de l'assemblée générale doit être exprimée en pourcentage du montant hors taxes des travaux, à un taux dégressif selon l'importance des travaux préalablement à leur exécution. » ;</w:t>
      </w:r>
      <w:r w:rsidRPr="00874A27">
        <w:rPr>
          <w:rFonts w:ascii="Arial" w:eastAsia="Times New Roman" w:hAnsi="Arial" w:cs="Arial"/>
          <w:color w:val="000000"/>
          <w:sz w:val="19"/>
          <w:szCs w:val="19"/>
          <w:lang w:eastAsia="fr-FR"/>
        </w:rPr>
        <w:br/>
        <w:t>6° L'article 18-1 est ainsi modifié :</w:t>
      </w:r>
      <w:r w:rsidRPr="00874A27">
        <w:rPr>
          <w:rFonts w:ascii="Arial" w:eastAsia="Times New Roman" w:hAnsi="Arial" w:cs="Arial"/>
          <w:color w:val="000000"/>
          <w:sz w:val="19"/>
          <w:szCs w:val="19"/>
          <w:lang w:eastAsia="fr-FR"/>
        </w:rPr>
        <w:br/>
        <w:t>a) A la première phrase, les mots : « au moins un jour ouvré, selon des modalités définies par l'assemblée générale » sont remplacés par les mots : « , selon des modalités précisées par décret en Conseil d'Etat » ;</w:t>
      </w:r>
      <w:r w:rsidRPr="00874A27">
        <w:rPr>
          <w:rFonts w:ascii="Arial" w:eastAsia="Times New Roman" w:hAnsi="Arial" w:cs="Arial"/>
          <w:color w:val="000000"/>
          <w:sz w:val="19"/>
          <w:szCs w:val="19"/>
          <w:lang w:eastAsia="fr-FR"/>
        </w:rPr>
        <w:br/>
        <w:t>b) La seconde phrase est supprimée ;</w:t>
      </w:r>
      <w:r w:rsidRPr="00874A27">
        <w:rPr>
          <w:rFonts w:ascii="Arial" w:eastAsia="Times New Roman" w:hAnsi="Arial" w:cs="Arial"/>
          <w:color w:val="000000"/>
          <w:sz w:val="19"/>
          <w:szCs w:val="19"/>
          <w:lang w:eastAsia="fr-FR"/>
        </w:rPr>
        <w:br/>
        <w:t>7° A la seconde phrase du premier alinéa de l'article 18-2, les mots : « l'ancien syndic a fait le choix de confier tout ou partie des archives du syndicat des copropriétaires » sont remplacés par les mots : « le syndicat des copropriétaires a fait le choix de confier tout ou partie de ses archives » ;</w:t>
      </w:r>
      <w:r w:rsidRPr="00874A27">
        <w:rPr>
          <w:rFonts w:ascii="Arial" w:eastAsia="Times New Roman" w:hAnsi="Arial" w:cs="Arial"/>
          <w:color w:val="000000"/>
          <w:sz w:val="19"/>
          <w:szCs w:val="19"/>
          <w:lang w:eastAsia="fr-FR"/>
        </w:rPr>
        <w:br/>
        <w:t>8° L'article 19-2 est complété par un alinéa ainsi rédigé :</w:t>
      </w:r>
      <w:r w:rsidRPr="00874A27">
        <w:rPr>
          <w:rFonts w:ascii="Arial" w:eastAsia="Times New Roman" w:hAnsi="Arial" w:cs="Arial"/>
          <w:color w:val="000000"/>
          <w:sz w:val="19"/>
          <w:szCs w:val="19"/>
          <w:lang w:eastAsia="fr-FR"/>
        </w:rPr>
        <w:br/>
        <w:t>« Si l'assemblée générale vote pour autoriser le syndic à agir en justice pour obtenir la saisie en vue de la vente d'un lot d'un copropriétaire débiteur vis-à-vis du syndicat, la voix de ce copropriétaire n'est pas prise en compte dans le décompte de la majorité et ce copropriétaire ne peut recevoir mandat pour représenter un autre copropriétaire en application de l'article 22. » ;</w:t>
      </w:r>
      <w:r w:rsidRPr="00874A27">
        <w:rPr>
          <w:rFonts w:ascii="Arial" w:eastAsia="Times New Roman" w:hAnsi="Arial" w:cs="Arial"/>
          <w:color w:val="000000"/>
          <w:sz w:val="19"/>
          <w:szCs w:val="19"/>
          <w:lang w:eastAsia="fr-FR"/>
        </w:rPr>
        <w:br/>
        <w:t>9° L'article 20 est ainsi modifié :</w:t>
      </w:r>
      <w:r w:rsidRPr="00874A27">
        <w:rPr>
          <w:rFonts w:ascii="Arial" w:eastAsia="Times New Roman" w:hAnsi="Arial" w:cs="Arial"/>
          <w:color w:val="000000"/>
          <w:sz w:val="19"/>
          <w:szCs w:val="19"/>
          <w:lang w:eastAsia="fr-FR"/>
        </w:rPr>
        <w:br/>
        <w:t>a) Au début du premier alinéa, est ajoutée la mention : « I. ― » ;</w:t>
      </w:r>
      <w:r w:rsidRPr="00874A27">
        <w:rPr>
          <w:rFonts w:ascii="Arial" w:eastAsia="Times New Roman" w:hAnsi="Arial" w:cs="Arial"/>
          <w:color w:val="000000"/>
          <w:sz w:val="19"/>
          <w:szCs w:val="19"/>
          <w:lang w:eastAsia="fr-FR"/>
        </w:rPr>
        <w:br/>
        <w:t>b) Après la troisième phrase du premier alinéa, sont insérées deux phrases ainsi rédigées :</w:t>
      </w:r>
      <w:r w:rsidRPr="00874A27">
        <w:rPr>
          <w:rFonts w:ascii="Arial" w:eastAsia="Times New Roman" w:hAnsi="Arial" w:cs="Arial"/>
          <w:color w:val="000000"/>
          <w:sz w:val="19"/>
          <w:szCs w:val="19"/>
          <w:lang w:eastAsia="fr-FR"/>
        </w:rPr>
        <w:br/>
        <w:t>« Le notaire libère les fonds dès l'accord entre le syndic et le vendeur sur les sommes restant dues. A défaut d'accord, dans un délai de trois mois après la constitution par le syndic de l'opposition régulière, il verse les sommes retenues au syndicat, sauf contestation de l'opposition devant les tribunaux par une des parties. » ;</w:t>
      </w:r>
      <w:r w:rsidRPr="00874A27">
        <w:rPr>
          <w:rFonts w:ascii="Arial" w:eastAsia="Times New Roman" w:hAnsi="Arial" w:cs="Arial"/>
          <w:color w:val="000000"/>
          <w:sz w:val="19"/>
          <w:szCs w:val="19"/>
          <w:lang w:eastAsia="fr-FR"/>
        </w:rPr>
        <w:br/>
        <w:t>c) Il est ajouté un II ainsi rédigé :</w:t>
      </w:r>
      <w:r w:rsidRPr="00874A27">
        <w:rPr>
          <w:rFonts w:ascii="Arial" w:eastAsia="Times New Roman" w:hAnsi="Arial" w:cs="Arial"/>
          <w:color w:val="000000"/>
          <w:sz w:val="19"/>
          <w:szCs w:val="19"/>
          <w:lang w:eastAsia="fr-FR"/>
        </w:rPr>
        <w:br/>
        <w:t>« II. ― Préalablement à l'établissement de l'acte authentique de vente d'un lot ou d'une fraction de lot, le cas échéant après que le titulaire du droit de préemption instauré en application du </w:t>
      </w:r>
      <w:hyperlink r:id="rId240" w:history="1">
        <w:r w:rsidRPr="00874A27">
          <w:rPr>
            <w:rFonts w:ascii="Arial" w:eastAsia="Times New Roman" w:hAnsi="Arial" w:cs="Arial"/>
            <w:color w:val="336699"/>
            <w:sz w:val="19"/>
            <w:szCs w:val="19"/>
            <w:u w:val="single"/>
            <w:lang w:eastAsia="fr-FR"/>
          </w:rPr>
          <w:t>dernier alinéa de l'article L. 211-4 du code de l'urbanisme</w:t>
        </w:r>
      </w:hyperlink>
      <w:r w:rsidRPr="00874A27">
        <w:rPr>
          <w:rFonts w:ascii="Arial" w:eastAsia="Times New Roman" w:hAnsi="Arial" w:cs="Arial"/>
          <w:color w:val="000000"/>
          <w:sz w:val="19"/>
          <w:szCs w:val="19"/>
          <w:lang w:eastAsia="fr-FR"/>
        </w:rPr>
        <w:t> a renoncé à l'exercice de ce droit, le notaire notifie au syndic de la copropriété le nom du candidat acquéreur ou le nom des mandataires sociaux et des associés de la société civile immobilière ou de la société en nom collectif se portant acquéreur, ainsi que le nom de leurs conjoints ou partenaires liés par un pacte civil de solidarité.</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Dans un délai d'un mois, le syndic délivre au notaire un certificat datant de moins d'un mois attestant :</w:t>
      </w:r>
      <w:r w:rsidRPr="00874A27">
        <w:rPr>
          <w:rFonts w:ascii="Arial" w:eastAsia="Times New Roman" w:hAnsi="Arial" w:cs="Arial"/>
          <w:color w:val="000000"/>
          <w:sz w:val="19"/>
          <w:szCs w:val="19"/>
          <w:lang w:eastAsia="fr-FR"/>
        </w:rPr>
        <w:br/>
        <w:t>« 1° Soit que l'acquéreur ou les mandataires sociaux et les associés de la société se portant acquéreur, leurs conjoints ou partenaires liés à eux par un pacte civil de solidarité ne sont pas copropriétaires de l'immeuble concerné par la mutation ;</w:t>
      </w:r>
      <w:r w:rsidRPr="00874A27">
        <w:rPr>
          <w:rFonts w:ascii="Arial" w:eastAsia="Times New Roman" w:hAnsi="Arial" w:cs="Arial"/>
          <w:color w:val="000000"/>
          <w:sz w:val="19"/>
          <w:szCs w:val="19"/>
          <w:lang w:eastAsia="fr-FR"/>
        </w:rPr>
        <w:br/>
        <w:t>« 2° Soit, si l'une de ces personnes est copropriétaire de l'immeuble concerné par la mutation, qu'elle n'a pas fait l'objet d'une mise en demeure de payer du syndic restée infructueuse depuis plus de quarante-cinq jours.</w:t>
      </w:r>
      <w:r w:rsidRPr="00874A27">
        <w:rPr>
          <w:rFonts w:ascii="Arial" w:eastAsia="Times New Roman" w:hAnsi="Arial" w:cs="Arial"/>
          <w:color w:val="000000"/>
          <w:sz w:val="19"/>
          <w:szCs w:val="19"/>
          <w:lang w:eastAsia="fr-FR"/>
        </w:rPr>
        <w:br/>
        <w:t>« Si le copropriétaire n'est pas à jour de ses charges au sens du 2° du présent II, le notaire notifie aux parties l'impossibilité de conclure la vente.</w:t>
      </w:r>
      <w:r w:rsidRPr="00874A27">
        <w:rPr>
          <w:rFonts w:ascii="Arial" w:eastAsia="Times New Roman" w:hAnsi="Arial" w:cs="Arial"/>
          <w:color w:val="000000"/>
          <w:sz w:val="19"/>
          <w:szCs w:val="19"/>
          <w:lang w:eastAsia="fr-FR"/>
        </w:rPr>
        <w:br/>
        <w:t>« Dans l'hypothèse où un avant-contrat de vente a été signé préalablement à l'acte authentique de vente, l'acquéreur ou les mandataires sociaux et les associés de la société se portant acquéreur, leurs conjoints ou partenaires liés à eux par un pacte civil de solidarité, dont les noms ont été notifiés par le notaire, disposent d'un délai de trente jours à compter de cette notification pour s'acquitter de leur dette vis-à-vis du syndicat. Si aucun certificat attestant du règlement des charges n'est produit à l'issue de ce délai, l'avant-contrat est réputé nul et non avenu aux torts de l'acquéreur. » ;</w:t>
      </w:r>
      <w:r w:rsidRPr="00874A27">
        <w:rPr>
          <w:rFonts w:ascii="Arial" w:eastAsia="Times New Roman" w:hAnsi="Arial" w:cs="Arial"/>
          <w:color w:val="000000"/>
          <w:sz w:val="19"/>
          <w:szCs w:val="19"/>
          <w:lang w:eastAsia="fr-FR"/>
        </w:rPr>
        <w:br/>
        <w:t>10° L'article 21 est ainsi modifié :</w:t>
      </w:r>
      <w:r w:rsidRPr="00874A27">
        <w:rPr>
          <w:rFonts w:ascii="Arial" w:eastAsia="Times New Roman" w:hAnsi="Arial" w:cs="Arial"/>
          <w:color w:val="000000"/>
          <w:sz w:val="19"/>
          <w:szCs w:val="19"/>
          <w:lang w:eastAsia="fr-FR"/>
        </w:rPr>
        <w:br/>
        <w:t>a) A la dernière phrase du deuxième alinéa, après le mot : « contrats », sont insérés les mots : « autres que celui de syndic » ;</w:t>
      </w:r>
      <w:r w:rsidRPr="00874A27">
        <w:rPr>
          <w:rFonts w:ascii="Arial" w:eastAsia="Times New Roman" w:hAnsi="Arial" w:cs="Arial"/>
          <w:color w:val="000000"/>
          <w:sz w:val="19"/>
          <w:szCs w:val="19"/>
          <w:lang w:eastAsia="fr-FR"/>
        </w:rPr>
        <w:br/>
        <w:t>b) Après le deuxième alinéa, sont insérés quatre alinéas ainsi rédigés :</w:t>
      </w:r>
      <w:r w:rsidRPr="00874A27">
        <w:rPr>
          <w:rFonts w:ascii="Arial" w:eastAsia="Times New Roman" w:hAnsi="Arial" w:cs="Arial"/>
          <w:color w:val="000000"/>
          <w:sz w:val="19"/>
          <w:szCs w:val="19"/>
          <w:lang w:eastAsia="fr-FR"/>
        </w:rPr>
        <w:br/>
        <w:t>« Au cas où l'assemblée générale est appelée à se prononcer sur la désignation d'un syndic, celle-ci est précédée d'une mise en concurrence de plusieurs projets de contrat de syndic, faisant notamment état des frais afférents au compte bancaire séparé, effectuée par le conseil syndical, sans préjudice de la possibilité, pour les copropriétaires, de demander au syndic l'inscription à l'ordre du jour de l'assemblée générale de l'examen des projets de contrat de syndic qu'ils communiquent à cet effet.</w:t>
      </w:r>
      <w:r w:rsidRPr="00874A27">
        <w:rPr>
          <w:rFonts w:ascii="Arial" w:eastAsia="Times New Roman" w:hAnsi="Arial" w:cs="Arial"/>
          <w:color w:val="000000"/>
          <w:sz w:val="19"/>
          <w:szCs w:val="19"/>
          <w:lang w:eastAsia="fr-FR"/>
        </w:rPr>
        <w:br/>
        <w:t>« Le conseil syndical peut proposer de ne pas procéder à la mise en concurrence mentionnée au troisième alinéa lorsque le marché local des syndics ne permet pas cette mise en concurrence. Le syndic notifie cette proposition aux copropriétaires dans un délai leur permettant de demander l'inscription à l'ordre du jour de l'assemblée générale de l'examen des projets de contrat de syndic qu'ils communiquent à cet effet. La proposition du conseil syndical ne fait pas l'objet d'une question inscrite à l'ordre du jour de l'assemblée générale.</w:t>
      </w:r>
      <w:r w:rsidRPr="00874A27">
        <w:rPr>
          <w:rFonts w:ascii="Arial" w:eastAsia="Times New Roman" w:hAnsi="Arial" w:cs="Arial"/>
          <w:color w:val="000000"/>
          <w:sz w:val="19"/>
          <w:szCs w:val="19"/>
          <w:lang w:eastAsia="fr-FR"/>
        </w:rPr>
        <w:br/>
        <w:t>« Le conseil syndical peut se prononcer, par un avis écrit, sur tout projet de contrat de syndic. Si un tel avis est émis, il est joint à la convocation de l'assemblée générale, concomitamment avec les projets de contrat concernés.</w:t>
      </w:r>
      <w:r w:rsidRPr="00874A27">
        <w:rPr>
          <w:rFonts w:ascii="Arial" w:eastAsia="Times New Roman" w:hAnsi="Arial" w:cs="Arial"/>
          <w:color w:val="000000"/>
          <w:sz w:val="19"/>
          <w:szCs w:val="19"/>
          <w:lang w:eastAsia="fr-FR"/>
        </w:rPr>
        <w:br/>
        <w:t>« Lorsque la copropriété n'a pas institué de conseil syndical, la mise en concurrence n'est pas obligatoire. » ;</w:t>
      </w:r>
      <w:r w:rsidRPr="00874A27">
        <w:rPr>
          <w:rFonts w:ascii="Arial" w:eastAsia="Times New Roman" w:hAnsi="Arial" w:cs="Arial"/>
          <w:color w:val="000000"/>
          <w:sz w:val="19"/>
          <w:szCs w:val="19"/>
          <w:lang w:eastAsia="fr-FR"/>
        </w:rPr>
        <w:br/>
        <w:t>c) Au début du quatrième alinéa, les mots : « Il reçoit, en outre » sont remplacés par les mots : « Le conseil syndical reçoit » ;</w:t>
      </w:r>
      <w:r w:rsidRPr="00874A27">
        <w:rPr>
          <w:rFonts w:ascii="Arial" w:eastAsia="Times New Roman" w:hAnsi="Arial" w:cs="Arial"/>
          <w:color w:val="000000"/>
          <w:sz w:val="19"/>
          <w:szCs w:val="19"/>
          <w:lang w:eastAsia="fr-FR"/>
        </w:rPr>
        <w:br/>
        <w:t>d) A la première phrase du sixième alinéa, après le mot : « descendants, », sont insérés les mots : « ses parents en ligne collatérale, » ;</w:t>
      </w:r>
      <w:r w:rsidRPr="00874A27">
        <w:rPr>
          <w:rFonts w:ascii="Arial" w:eastAsia="Times New Roman" w:hAnsi="Arial" w:cs="Arial"/>
          <w:color w:val="000000"/>
          <w:sz w:val="19"/>
          <w:szCs w:val="19"/>
          <w:lang w:eastAsia="fr-FR"/>
        </w:rPr>
        <w:br/>
        <w:t>11° L'article 22 est ainsi modifié :</w:t>
      </w:r>
      <w:r w:rsidRPr="00874A27">
        <w:rPr>
          <w:rFonts w:ascii="Arial" w:eastAsia="Times New Roman" w:hAnsi="Arial" w:cs="Arial"/>
          <w:color w:val="000000"/>
          <w:sz w:val="19"/>
          <w:szCs w:val="19"/>
          <w:lang w:eastAsia="fr-FR"/>
        </w:rPr>
        <w:br/>
        <w:t>a) Au début du premier alinéa, est ajoutée la mention : « I. ― » ;</w:t>
      </w:r>
      <w:r w:rsidRPr="00874A27">
        <w:rPr>
          <w:rFonts w:ascii="Arial" w:eastAsia="Times New Roman" w:hAnsi="Arial" w:cs="Arial"/>
          <w:color w:val="000000"/>
          <w:sz w:val="19"/>
          <w:szCs w:val="19"/>
          <w:lang w:eastAsia="fr-FR"/>
        </w:rPr>
        <w:br/>
        <w:t>b) Sont ajoutés un alinéa et des II et III ainsi rédigés :</w:t>
      </w:r>
      <w:r w:rsidRPr="00874A27">
        <w:rPr>
          <w:rFonts w:ascii="Arial" w:eastAsia="Times New Roman" w:hAnsi="Arial" w:cs="Arial"/>
          <w:color w:val="000000"/>
          <w:sz w:val="19"/>
          <w:szCs w:val="19"/>
          <w:lang w:eastAsia="fr-FR"/>
        </w:rPr>
        <w:br/>
        <w:t>« Les salariés du syndic, leurs conjoints ou partenaires liés par un pacte civil de solidarité et leurs ascendants ou descendants qui sont également copropriétaires de l'immeuble bâti ne peuvent pas porter de pouvoirs d'autres copropriétaires pour voter lors de l'assemblée générale.</w:t>
      </w:r>
      <w:r w:rsidRPr="00874A27">
        <w:rPr>
          <w:rFonts w:ascii="Arial" w:eastAsia="Times New Roman" w:hAnsi="Arial" w:cs="Arial"/>
          <w:color w:val="000000"/>
          <w:sz w:val="19"/>
          <w:szCs w:val="19"/>
          <w:lang w:eastAsia="fr-FR"/>
        </w:rPr>
        <w:br/>
        <w:t>« II. ― L'assemblée générale d'un syndicat secondaire statuant à la majorité mentionnée à l'article 25 peut mandater, pour une durée d'un an, le président du conseil syndical secondaire pour représenter les copropriétaires à l'assemblée générale du syndicat principal. Par dérogation au I du présent article, le mandat confié au président du conseil syndical secondaire emporte délégation de vote de tous les copropriétaires pour les décisions inscrites à l'ordre du jour de l'assemblée générale du syndicat principal nécessitant un vote relevant de l'article 24.</w:t>
      </w:r>
      <w:r w:rsidRPr="00874A27">
        <w:rPr>
          <w:rFonts w:ascii="Arial" w:eastAsia="Times New Roman" w:hAnsi="Arial" w:cs="Arial"/>
          <w:color w:val="000000"/>
          <w:sz w:val="19"/>
          <w:szCs w:val="19"/>
          <w:lang w:eastAsia="fr-FR"/>
        </w:rPr>
        <w:br/>
        <w:t>« Pour les décisions inscrites à l'ordre du jour de l'assemblée générale du syndicat principal nécessitant la majorité mentionnée aux articles 25 ou 26 ou l'unanimité, le président du conseil syndical secondaire ne peut prendre part au vote que s'il dispose d'une délibération de l'assemblée générale du syndicat secondaire se prononçant sur cette décision aux majorités requises par la présente loi.</w:t>
      </w:r>
      <w:r w:rsidRPr="00874A27">
        <w:rPr>
          <w:rFonts w:ascii="Arial" w:eastAsia="Times New Roman" w:hAnsi="Arial" w:cs="Arial"/>
          <w:color w:val="000000"/>
          <w:sz w:val="19"/>
          <w:szCs w:val="19"/>
          <w:lang w:eastAsia="fr-FR"/>
        </w:rPr>
        <w:br/>
        <w:t>« Le président du conseil syndical secondaire rend compte de son activité à chaque assemblée générale du syndicat secondaire. Le renouvellement de son mandat est inscrit chaque année à l'ordre du jour de l'assemblée générale.</w:t>
      </w:r>
      <w:r w:rsidRPr="00874A27">
        <w:rPr>
          <w:rFonts w:ascii="Arial" w:eastAsia="Times New Roman" w:hAnsi="Arial" w:cs="Arial"/>
          <w:color w:val="000000"/>
          <w:sz w:val="19"/>
          <w:szCs w:val="19"/>
          <w:lang w:eastAsia="fr-FR"/>
        </w:rPr>
        <w:br/>
        <w:t>« III. ― Le II est applicable pour la représentation au sein de l'assemblée générale des associations syndicales libres des membres du syndicat des copropriétaires des immeubles inclus dans le périmètre de l'association syndicale libre.</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Pour les décisions inscrites à l'ordre du jour de l'assemblée générale de l'association syndicale libre pour lesquelles les statuts de ladite association prévoient une majorité qualifiée, le mandataire désigné dans les conditions prévues au II ne peut prendre part au vote s'il ne dispose d'une délibération de l'assemblée générale des copropriétaires le mandatant et se prononçant sur cette décision à la même majorité. » ;</w:t>
      </w:r>
      <w:r w:rsidRPr="00874A27">
        <w:rPr>
          <w:rFonts w:ascii="Arial" w:eastAsia="Times New Roman" w:hAnsi="Arial" w:cs="Arial"/>
          <w:color w:val="000000"/>
          <w:sz w:val="19"/>
          <w:szCs w:val="19"/>
          <w:lang w:eastAsia="fr-FR"/>
        </w:rPr>
        <w:br/>
        <w:t>12° A la seconde phrase du second alinéa de l'article 24-6, la référence : « neuvième alinéa » est remplacée par la référence : « deuxième alinéa du III » ;</w:t>
      </w:r>
      <w:r w:rsidRPr="00874A27">
        <w:rPr>
          <w:rFonts w:ascii="Arial" w:eastAsia="Times New Roman" w:hAnsi="Arial" w:cs="Arial"/>
          <w:color w:val="000000"/>
          <w:sz w:val="19"/>
          <w:szCs w:val="19"/>
          <w:lang w:eastAsia="fr-FR"/>
        </w:rPr>
        <w:br/>
        <w:t>13° Après l'article 42, il est inséré un article 42-1 ainsi rédigé :</w:t>
      </w:r>
      <w:r w:rsidRPr="00874A27">
        <w:rPr>
          <w:rFonts w:ascii="Arial" w:eastAsia="Times New Roman" w:hAnsi="Arial" w:cs="Arial"/>
          <w:color w:val="000000"/>
          <w:sz w:val="19"/>
          <w:szCs w:val="19"/>
          <w:lang w:eastAsia="fr-FR"/>
        </w:rPr>
        <w:br/>
        <w:t>« Art. 42-1. - Les notifications et mises en demeure, sous réserve de l'accord exprès des copropriétaires, sont valablement faites par voie électronique. »</w:t>
      </w:r>
      <w:r w:rsidRPr="00874A27">
        <w:rPr>
          <w:rFonts w:ascii="Arial" w:eastAsia="Times New Roman" w:hAnsi="Arial" w:cs="Arial"/>
          <w:color w:val="000000"/>
          <w:sz w:val="19"/>
          <w:szCs w:val="19"/>
          <w:lang w:eastAsia="fr-FR"/>
        </w:rPr>
        <w:br/>
        <w:t>II. - Au quatrième alinéa de l'article L. 443-15 du code de la construction et de l'habitation, après le mot : « alinéa », est insérée la référence : « du I ».</w:t>
      </w:r>
      <w:r w:rsidRPr="00874A27">
        <w:rPr>
          <w:rFonts w:ascii="Arial" w:eastAsia="Times New Roman" w:hAnsi="Arial" w:cs="Arial"/>
          <w:color w:val="000000"/>
          <w:sz w:val="19"/>
          <w:szCs w:val="19"/>
          <w:lang w:eastAsia="fr-FR"/>
        </w:rPr>
        <w:br/>
        <w:t>III. - Le f du 3° du I du présent article entre en vigueur dans le délai d'un an à compter de la promulgation de la présente loi. Il s'applique aux mandats en cours à compter de leur renouvellement.</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55" w:name="JORFARTI000028773535"/>
      <w:bookmarkEnd w:id="55"/>
      <w:r w:rsidRPr="00874A27">
        <w:rPr>
          <w:rFonts w:ascii="Arial" w:eastAsia="Times New Roman" w:hAnsi="Arial" w:cs="Arial"/>
          <w:b/>
          <w:bCs/>
          <w:color w:val="000000"/>
          <w:sz w:val="23"/>
          <w:szCs w:val="23"/>
          <w:lang w:eastAsia="fr-FR"/>
        </w:rPr>
        <w:t>Article 56 </w:t>
      </w:r>
      <w:hyperlink r:id="rId241" w:tooltip="En savoir plus sur l'article 5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l'article 17-1 de la loi n° 65-557 du 10 juillet 1965 précitée, il est inséré un article 17-1-1 ainsi rédigé :</w:t>
      </w:r>
      <w:r w:rsidRPr="00874A27">
        <w:rPr>
          <w:rFonts w:ascii="Arial" w:eastAsia="Times New Roman" w:hAnsi="Arial" w:cs="Arial"/>
          <w:color w:val="000000"/>
          <w:sz w:val="19"/>
          <w:szCs w:val="19"/>
          <w:lang w:eastAsia="fr-FR"/>
        </w:rPr>
        <w:br/>
        <w:t>« Art. 17-1-1. - Lorsque le syndicat de copropriétaires comporte moins de dix lots à usage de logements, de bureaux ou de commerces et que son budget prévisionnel moyen sur une période de trois exercices consécutifs est inférieur à 15 000 €, le syndicat peut bénéficier des dérogations suivantes aux articles 17-1 et 26 :</w:t>
      </w:r>
      <w:r w:rsidRPr="00874A27">
        <w:rPr>
          <w:rFonts w:ascii="Arial" w:eastAsia="Times New Roman" w:hAnsi="Arial" w:cs="Arial"/>
          <w:color w:val="000000"/>
          <w:sz w:val="19"/>
          <w:szCs w:val="19"/>
          <w:lang w:eastAsia="fr-FR"/>
        </w:rPr>
        <w:br/>
        <w:t>« A. ― La modification du règlement de copropriété en vue de prévoir la possibilité d'adopter la forme coopérative est approuvée à la majorité de l'article 25 et, le cas échéant, à la majorité de l'article 25-1.</w:t>
      </w:r>
      <w:r w:rsidRPr="00874A27">
        <w:rPr>
          <w:rFonts w:ascii="Arial" w:eastAsia="Times New Roman" w:hAnsi="Arial" w:cs="Arial"/>
          <w:color w:val="000000"/>
          <w:sz w:val="19"/>
          <w:szCs w:val="19"/>
          <w:lang w:eastAsia="fr-FR"/>
        </w:rPr>
        <w:br/>
        <w:t>« B. ― Lorsque l'assemblée générale de ce syndicat a décidé d'adopter la forme coopérative, elle peut également décider, par une délibération spéciale, à la majorité de l'article 25, de ne pas constituer de conseil syndical et de procéder directement à la désignation du syndic parmi ses membres.</w:t>
      </w:r>
      <w:r w:rsidRPr="00874A27">
        <w:rPr>
          <w:rFonts w:ascii="Arial" w:eastAsia="Times New Roman" w:hAnsi="Arial" w:cs="Arial"/>
          <w:color w:val="000000"/>
          <w:sz w:val="19"/>
          <w:szCs w:val="19"/>
          <w:lang w:eastAsia="fr-FR"/>
        </w:rPr>
        <w:br/>
        <w:t>« Dans ce cas, et par dérogation à l'article 17-1 :</w:t>
      </w:r>
      <w:r w:rsidRPr="00874A27">
        <w:rPr>
          <w:rFonts w:ascii="Arial" w:eastAsia="Times New Roman" w:hAnsi="Arial" w:cs="Arial"/>
          <w:color w:val="000000"/>
          <w:sz w:val="19"/>
          <w:szCs w:val="19"/>
          <w:lang w:eastAsia="fr-FR"/>
        </w:rPr>
        <w:br/>
        <w:t>« 1° La désignation du syndic se fait par vote séparé à la majorité de l'article 25. L'assemblée générale peut également désigner un copropriétaire pour suppléer le syndic en cas d'empêchement de celui-ci. Le syndic et son suppléant sont l'un et l'autre révocables dans les mêmes conditions. L'assemblée générale désigne une ou plusieurs personnes physiques ou morales, qui peuvent être des copropriétaires ou des personnes extérieures qualifiées, pour assurer le contrôle des comptes du syndicat ;</w:t>
      </w:r>
      <w:r w:rsidRPr="00874A27">
        <w:rPr>
          <w:rFonts w:ascii="Arial" w:eastAsia="Times New Roman" w:hAnsi="Arial" w:cs="Arial"/>
          <w:color w:val="000000"/>
          <w:sz w:val="19"/>
          <w:szCs w:val="19"/>
          <w:lang w:eastAsia="fr-FR"/>
        </w:rPr>
        <w:br/>
        <w:t>« 2° En cas d'empêchement du syndic ou de défaillance de celui-ci mettant en péril la conservation de l'immeuble, la santé ou la sécurité des occupants, chaque copropriétaire peut prendre l'initiative de convoquer une assemblée générale extraordinaire pour désigner un nouveau syndic ou prendre les décisions nécessaires à la conservation de l'immeuble, de la santé ou de la sécurité de ses occupants.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56" w:name="JORFARTI000028773538"/>
      <w:bookmarkEnd w:id="56"/>
      <w:r w:rsidRPr="00874A27">
        <w:rPr>
          <w:rFonts w:ascii="Arial" w:eastAsia="Times New Roman" w:hAnsi="Arial" w:cs="Arial"/>
          <w:b/>
          <w:bCs/>
          <w:color w:val="000000"/>
          <w:sz w:val="23"/>
          <w:szCs w:val="23"/>
          <w:lang w:eastAsia="fr-FR"/>
        </w:rPr>
        <w:t>Article 57 </w:t>
      </w:r>
      <w:hyperlink r:id="rId242" w:tooltip="En savoir plus sur l'article 5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 dernière phrase du premier alinéa de l'article 19 de l'ordonnance n° 2004-632 du 1er juillet 2004 relative aux associations syndicales de propriétaires est complétée par les mots : « , un même mandataire ne pouvant détenir un nombre de mandats supérieur au cinquième des membres en exercice de l'assemblée des propriétaires ».</w:t>
      </w:r>
      <w:r w:rsidRPr="00874A27">
        <w:rPr>
          <w:rFonts w:ascii="Arial" w:eastAsia="Times New Roman" w:hAnsi="Arial" w:cs="Arial"/>
          <w:color w:val="000000"/>
          <w:sz w:val="19"/>
          <w:szCs w:val="19"/>
          <w:lang w:eastAsia="fr-FR"/>
        </w:rPr>
        <w:br/>
        <w:t>II. - Les deux derniers alinéas de l'article L. 322-9-1 du code de l'urbanisme sont remplacés par un alinéa ainsi rédigé :</w:t>
      </w:r>
      <w:r w:rsidRPr="00874A27">
        <w:rPr>
          <w:rFonts w:ascii="Arial" w:eastAsia="Times New Roman" w:hAnsi="Arial" w:cs="Arial"/>
          <w:color w:val="000000"/>
          <w:sz w:val="19"/>
          <w:szCs w:val="19"/>
          <w:lang w:eastAsia="fr-FR"/>
        </w:rPr>
        <w:br/>
        <w:t>« Dans chaque copropriété, les copropriétaires peuvent charger un ou plusieurs d'entre eux, un mandataire ad hoc ou le syndic de la copropriété, dûment mandaté, de les représenter à l'assemblée des propriétaires de l'association. Un même syndic ne peut être mandaté par les copropriétaires de plus d'une copropriété. »</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4 : Prévenir la dégradation des copropriétés et faciliter la réalisation des travaux de conservation des immeubles</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57" w:name="JORFARTI000028773543"/>
      <w:bookmarkEnd w:id="57"/>
      <w:r w:rsidRPr="00874A27">
        <w:rPr>
          <w:rFonts w:ascii="Arial" w:eastAsia="Times New Roman" w:hAnsi="Arial" w:cs="Arial"/>
          <w:b/>
          <w:bCs/>
          <w:color w:val="000000"/>
          <w:sz w:val="23"/>
          <w:szCs w:val="23"/>
          <w:lang w:eastAsia="fr-FR"/>
        </w:rPr>
        <w:lastRenderedPageBreak/>
        <w:t>Article 58 </w:t>
      </w:r>
      <w:hyperlink r:id="rId243" w:tooltip="En savoir plus sur l'article 5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 loi n° 65-557 du 10 juillet 1965 précitée est ainsi modifiée :</w:t>
      </w:r>
      <w:r w:rsidRPr="00874A27">
        <w:rPr>
          <w:rFonts w:ascii="Arial" w:eastAsia="Times New Roman" w:hAnsi="Arial" w:cs="Arial"/>
          <w:color w:val="000000"/>
          <w:sz w:val="19"/>
          <w:szCs w:val="19"/>
          <w:lang w:eastAsia="fr-FR"/>
        </w:rPr>
        <w:br/>
        <w:t>1° Après l'article 9, il est inséré un article 9-1 ainsi rédigé :</w:t>
      </w:r>
      <w:r w:rsidRPr="00874A27">
        <w:rPr>
          <w:rFonts w:ascii="Arial" w:eastAsia="Times New Roman" w:hAnsi="Arial" w:cs="Arial"/>
          <w:color w:val="000000"/>
          <w:sz w:val="19"/>
          <w:szCs w:val="19"/>
          <w:lang w:eastAsia="fr-FR"/>
        </w:rPr>
        <w:br/>
        <w:t>« Art. 9-1. - Chaque copropriétaire est tenu de s'assurer contre les risques de responsabilité civile dont il doit répondre en sa qualité soit de copropriétaire occupant, soit de copropriétaire non-occupant. Chaque syndicat de copropriétaires est tenu de s'assurer contre les risques de responsabilité civile dont il doit répondre. » ;</w:t>
      </w:r>
      <w:r w:rsidRPr="00874A27">
        <w:rPr>
          <w:rFonts w:ascii="Arial" w:eastAsia="Times New Roman" w:hAnsi="Arial" w:cs="Arial"/>
          <w:color w:val="000000"/>
          <w:sz w:val="19"/>
          <w:szCs w:val="19"/>
          <w:lang w:eastAsia="fr-FR"/>
        </w:rPr>
        <w:br/>
        <w:t>2° Au deuxième alinéa de l'article 10, après le mot : « communes », sont insérés les mots : « et de verser au fonds de travaux mentionné à l'article 14-2 la cotisation prévue au même article, » ;</w:t>
      </w:r>
      <w:r w:rsidRPr="00874A27">
        <w:rPr>
          <w:rFonts w:ascii="Arial" w:eastAsia="Times New Roman" w:hAnsi="Arial" w:cs="Arial"/>
          <w:color w:val="000000"/>
          <w:sz w:val="19"/>
          <w:szCs w:val="19"/>
          <w:lang w:eastAsia="fr-FR"/>
        </w:rPr>
        <w:br/>
        <w:t>3° L'article 14-2 est ainsi modifié :</w:t>
      </w:r>
      <w:r w:rsidRPr="00874A27">
        <w:rPr>
          <w:rFonts w:ascii="Arial" w:eastAsia="Times New Roman" w:hAnsi="Arial" w:cs="Arial"/>
          <w:color w:val="000000"/>
          <w:sz w:val="19"/>
          <w:szCs w:val="19"/>
          <w:lang w:eastAsia="fr-FR"/>
        </w:rPr>
        <w:br/>
        <w:t>a) Au début du premier alinéa, est ajoutée la mention : « I. ― » ;</w:t>
      </w:r>
      <w:r w:rsidRPr="00874A27">
        <w:rPr>
          <w:rFonts w:ascii="Arial" w:eastAsia="Times New Roman" w:hAnsi="Arial" w:cs="Arial"/>
          <w:color w:val="000000"/>
          <w:sz w:val="19"/>
          <w:szCs w:val="19"/>
          <w:lang w:eastAsia="fr-FR"/>
        </w:rPr>
        <w:br/>
        <w:t>b) Au premier alinéa, le mot : « sera » est remplacé par le mot : « est » ;</w:t>
      </w:r>
      <w:r w:rsidRPr="00874A27">
        <w:rPr>
          <w:rFonts w:ascii="Arial" w:eastAsia="Times New Roman" w:hAnsi="Arial" w:cs="Arial"/>
          <w:color w:val="000000"/>
          <w:sz w:val="19"/>
          <w:szCs w:val="19"/>
          <w:lang w:eastAsia="fr-FR"/>
        </w:rPr>
        <w:br/>
        <w:t>c) Sont ajoutés des II à IV ainsi rédigés :</w:t>
      </w:r>
      <w:r w:rsidRPr="00874A27">
        <w:rPr>
          <w:rFonts w:ascii="Arial" w:eastAsia="Times New Roman" w:hAnsi="Arial" w:cs="Arial"/>
          <w:color w:val="000000"/>
          <w:sz w:val="19"/>
          <w:szCs w:val="19"/>
          <w:lang w:eastAsia="fr-FR"/>
        </w:rPr>
        <w:br/>
        <w:t>« II. ― Dans les immeubles à destination partielle ou totale d'habitation soumis à la présente loi, le syndicat des copropriétaires constitue un fonds de travaux à l'issue d'une période de cinq ans suivant la date de la réception des travaux pour faire face aux dépenses résultant :</w:t>
      </w:r>
      <w:r w:rsidRPr="00874A27">
        <w:rPr>
          <w:rFonts w:ascii="Arial" w:eastAsia="Times New Roman" w:hAnsi="Arial" w:cs="Arial"/>
          <w:color w:val="000000"/>
          <w:sz w:val="19"/>
          <w:szCs w:val="19"/>
          <w:lang w:eastAsia="fr-FR"/>
        </w:rPr>
        <w:br/>
        <w:t>« 1° Des travaux prescrits par les lois et règlements ;</w:t>
      </w:r>
      <w:r w:rsidRPr="00874A27">
        <w:rPr>
          <w:rFonts w:ascii="Arial" w:eastAsia="Times New Roman" w:hAnsi="Arial" w:cs="Arial"/>
          <w:color w:val="000000"/>
          <w:sz w:val="19"/>
          <w:szCs w:val="19"/>
          <w:lang w:eastAsia="fr-FR"/>
        </w:rPr>
        <w:br/>
        <w:t>« 2° Des travaux décidés par l'assemblée générale des copropriétaires au titre du I du présent article.</w:t>
      </w:r>
      <w:r w:rsidRPr="00874A27">
        <w:rPr>
          <w:rFonts w:ascii="Arial" w:eastAsia="Times New Roman" w:hAnsi="Arial" w:cs="Arial"/>
          <w:color w:val="000000"/>
          <w:sz w:val="19"/>
          <w:szCs w:val="19"/>
          <w:lang w:eastAsia="fr-FR"/>
        </w:rPr>
        <w:br/>
        <w:t>« Ce fonds de travaux est alimenté par une cotisation annuelle obligatoire versée par les copropriétaires selon les mêmes modalités que celles décidées par l'assemblée générale pour le versement des provisions du budget prévisionnel.</w:t>
      </w:r>
      <w:r w:rsidRPr="00874A27">
        <w:rPr>
          <w:rFonts w:ascii="Arial" w:eastAsia="Times New Roman" w:hAnsi="Arial" w:cs="Arial"/>
          <w:color w:val="000000"/>
          <w:sz w:val="19"/>
          <w:szCs w:val="19"/>
          <w:lang w:eastAsia="fr-FR"/>
        </w:rPr>
        <w:br/>
        <w:t>« L'assemblée générale, votant dans les conditions de majorité prévues aux articles 25 et 25-1, peut affecter tout ou partie des sommes déposées sur le fonds de travaux au financement des travaux mentionnés aux 1° et 2° du présent II.</w:t>
      </w:r>
      <w:r w:rsidRPr="00874A27">
        <w:rPr>
          <w:rFonts w:ascii="Arial" w:eastAsia="Times New Roman" w:hAnsi="Arial" w:cs="Arial"/>
          <w:color w:val="000000"/>
          <w:sz w:val="19"/>
          <w:szCs w:val="19"/>
          <w:lang w:eastAsia="fr-FR"/>
        </w:rPr>
        <w:br/>
        <w:t>« Par exception, lorsque, en application de l'article 18, le syndic a, dans un cas d'urgence, fait procéder de sa propre initiative à l'exécution de travaux nécessaires à la sauvegarde de l'immeuble, l'assemblée générale, votant dans les conditions de majorité prévues aux articles 25 et 25-1, peut affecter tout ou partie des sommes déposées sur le fonds de travaux au financement de ces travaux.</w:t>
      </w:r>
      <w:r w:rsidRPr="00874A27">
        <w:rPr>
          <w:rFonts w:ascii="Arial" w:eastAsia="Times New Roman" w:hAnsi="Arial" w:cs="Arial"/>
          <w:color w:val="000000"/>
          <w:sz w:val="19"/>
          <w:szCs w:val="19"/>
          <w:lang w:eastAsia="fr-FR"/>
        </w:rPr>
        <w:br/>
        <w:t>« Le montant, en pourcentage du budget prévisionnel, de la cotisation annuelle est décidé par l'assemblée générale votant dans les conditions de majorité prévues aux articles 25 et 25-1. Ce montant ne peut être inférieur à 5 % du budget prévisionnel mentionné à l'article 14-1.</w:t>
      </w:r>
      <w:r w:rsidRPr="00874A27">
        <w:rPr>
          <w:rFonts w:ascii="Arial" w:eastAsia="Times New Roman" w:hAnsi="Arial" w:cs="Arial"/>
          <w:color w:val="000000"/>
          <w:sz w:val="19"/>
          <w:szCs w:val="19"/>
          <w:lang w:eastAsia="fr-FR"/>
        </w:rPr>
        <w:br/>
        <w:t>« Si le diagnostic technique global prévu à l'article L. 731-1 du code de la construction et de l'habitation a été réalisé et qu'il ne fait apparaître aucun besoin de travaux dans les dix prochaines années, le syndicat est dispensé de l'obligation de constituer un fonds de travaux pendant la durée de validité du diagnostic.</w:t>
      </w:r>
      <w:r w:rsidRPr="00874A27">
        <w:rPr>
          <w:rFonts w:ascii="Arial" w:eastAsia="Times New Roman" w:hAnsi="Arial" w:cs="Arial"/>
          <w:color w:val="000000"/>
          <w:sz w:val="19"/>
          <w:szCs w:val="19"/>
          <w:lang w:eastAsia="fr-FR"/>
        </w:rPr>
        <w:br/>
        <w:t>« Les sommes versées au titre du fonds de travaux sont attachées aux lots et définitivement acquises au syndicat des copropriétaires. Elles ne donnent pas lieu à un remboursement par le syndicat à l'occasion de la cession d'un lot.</w:t>
      </w:r>
      <w:r w:rsidRPr="00874A27">
        <w:rPr>
          <w:rFonts w:ascii="Arial" w:eastAsia="Times New Roman" w:hAnsi="Arial" w:cs="Arial"/>
          <w:color w:val="000000"/>
          <w:sz w:val="19"/>
          <w:szCs w:val="19"/>
          <w:lang w:eastAsia="fr-FR"/>
        </w:rPr>
        <w:br/>
        <w:t>« III. ― Lorsque l'immeuble comporte moins de dix lots, le syndicat peut décider de ne pas constituer de fonds de travaux par une décision unanime de l'assemblée générale.</w:t>
      </w:r>
      <w:r w:rsidRPr="00874A27">
        <w:rPr>
          <w:rFonts w:ascii="Arial" w:eastAsia="Times New Roman" w:hAnsi="Arial" w:cs="Arial"/>
          <w:color w:val="000000"/>
          <w:sz w:val="19"/>
          <w:szCs w:val="19"/>
          <w:lang w:eastAsia="fr-FR"/>
        </w:rPr>
        <w:br/>
        <w:t>« IV. ― Lorsque le montant du fonds de travaux atteint un montant supérieur au budget prévisionnel mentionné à l'article 14-1, le syndic inscrit à l'ordre du jour de l'assemblée générale :</w:t>
      </w:r>
      <w:r w:rsidRPr="00874A27">
        <w:rPr>
          <w:rFonts w:ascii="Arial" w:eastAsia="Times New Roman" w:hAnsi="Arial" w:cs="Arial"/>
          <w:color w:val="000000"/>
          <w:sz w:val="19"/>
          <w:szCs w:val="19"/>
          <w:lang w:eastAsia="fr-FR"/>
        </w:rPr>
        <w:br/>
        <w:t>« 1° La question de l'élaboration du plan pluriannuel de travaux mentionné à l'article L. 731-2 du code de la construction et de l'habitation ;</w:t>
      </w:r>
      <w:r w:rsidRPr="00874A27">
        <w:rPr>
          <w:rFonts w:ascii="Arial" w:eastAsia="Times New Roman" w:hAnsi="Arial" w:cs="Arial"/>
          <w:color w:val="000000"/>
          <w:sz w:val="19"/>
          <w:szCs w:val="19"/>
          <w:lang w:eastAsia="fr-FR"/>
        </w:rPr>
        <w:br/>
        <w:t>« 2° La question de la suspension des cotisations au fonds de travaux, en fonction des décisions prises par l'assemblée générale sur le plan pluriannuel de travaux. » ;</w:t>
      </w:r>
      <w:r w:rsidRPr="00874A27">
        <w:rPr>
          <w:rFonts w:ascii="Arial" w:eastAsia="Times New Roman" w:hAnsi="Arial" w:cs="Arial"/>
          <w:color w:val="000000"/>
          <w:sz w:val="19"/>
          <w:szCs w:val="19"/>
          <w:lang w:eastAsia="fr-FR"/>
        </w:rPr>
        <w:br/>
        <w:t>4° L'article 18 est ainsi modifié :</w:t>
      </w:r>
      <w:r w:rsidRPr="00874A27">
        <w:rPr>
          <w:rFonts w:ascii="Arial" w:eastAsia="Times New Roman" w:hAnsi="Arial" w:cs="Arial"/>
          <w:color w:val="000000"/>
          <w:sz w:val="19"/>
          <w:szCs w:val="19"/>
          <w:lang w:eastAsia="fr-FR"/>
        </w:rPr>
        <w:br/>
        <w:t>a) Le sixième alinéa est supprimé ;</w:t>
      </w:r>
      <w:r w:rsidRPr="00874A27">
        <w:rPr>
          <w:rFonts w:ascii="Arial" w:eastAsia="Times New Roman" w:hAnsi="Arial" w:cs="Arial"/>
          <w:color w:val="000000"/>
          <w:sz w:val="19"/>
          <w:szCs w:val="19"/>
          <w:lang w:eastAsia="fr-FR"/>
        </w:rPr>
        <w:br/>
        <w:t>b) Le huitième alinéa est ainsi rédigé :</w:t>
      </w:r>
      <w:r w:rsidRPr="00874A27">
        <w:rPr>
          <w:rFonts w:ascii="Arial" w:eastAsia="Times New Roman" w:hAnsi="Arial" w:cs="Arial"/>
          <w:color w:val="000000"/>
          <w:sz w:val="19"/>
          <w:szCs w:val="19"/>
          <w:lang w:eastAsia="fr-FR"/>
        </w:rPr>
        <w:br/>
        <w:t>« ― d'ouvrir, dans l'établissement bancaire qu'il a choisi ou que l'assemblée générale a choisi pour le compte mentionné au troisième alinéa du présent II, un compte séparé rémunéré au nom du syndicat, sur lequel sont versées sans délai les cotisations au fonds de travaux prévu à l'article 14-2. Ce compte bancaire ne peut faire l'objet d'aucune convention de fusion, ni d'une compensation avec tout autre compte. Les virements en provenance du compte mentionné au troisième alinéa du présent II sont autorisés. Les intérêts produits par ce compte sont définitivement acquis au syndicat. La méconnaissance par le syndic de ces obligations emporte la nullité de plein droit de son mandat à l'expiration du délai de trois mois suivant sa désignation. Toutefois, les actes qu'il a passés avec des tiers de bonne foi demeurent valables. Le syndic met à disposition du conseil syndical une copie des relevés périodiques du compte, dès réception de ceux-ci ; »</w:t>
      </w:r>
      <w:r w:rsidRPr="00874A27">
        <w:rPr>
          <w:rFonts w:ascii="Arial" w:eastAsia="Times New Roman" w:hAnsi="Arial" w:cs="Arial"/>
          <w:color w:val="000000"/>
          <w:sz w:val="19"/>
          <w:szCs w:val="19"/>
          <w:lang w:eastAsia="fr-FR"/>
        </w:rPr>
        <w:br/>
        <w:t>5° L'article 19-1 est ainsi rédigé :</w:t>
      </w:r>
      <w:r w:rsidRPr="00874A27">
        <w:rPr>
          <w:rFonts w:ascii="Arial" w:eastAsia="Times New Roman" w:hAnsi="Arial" w:cs="Arial"/>
          <w:color w:val="000000"/>
          <w:sz w:val="19"/>
          <w:szCs w:val="19"/>
          <w:lang w:eastAsia="fr-FR"/>
        </w:rPr>
        <w:br/>
        <w:t>« Art. 19-1. - Sont garantis par le privilège immobilier spécial prévu à l'</w:t>
      </w:r>
      <w:hyperlink r:id="rId244" w:history="1">
        <w:r w:rsidRPr="00874A27">
          <w:rPr>
            <w:rFonts w:ascii="Arial" w:eastAsia="Times New Roman" w:hAnsi="Arial" w:cs="Arial"/>
            <w:color w:val="336699"/>
            <w:sz w:val="19"/>
            <w:szCs w:val="19"/>
            <w:u w:val="single"/>
            <w:lang w:eastAsia="fr-FR"/>
          </w:rPr>
          <w:t>article 2374 du code civil</w:t>
        </w:r>
      </w:hyperlink>
      <w:r w:rsidRPr="00874A27">
        <w:rPr>
          <w:rFonts w:ascii="Arial" w:eastAsia="Times New Roman" w:hAnsi="Arial" w:cs="Arial"/>
          <w:color w:val="000000"/>
          <w:sz w:val="19"/>
          <w:szCs w:val="19"/>
          <w:lang w:eastAsia="fr-FR"/>
        </w:rPr>
        <w:t xml:space="preserve"> : </w:t>
      </w:r>
      <w:r w:rsidRPr="00874A27">
        <w:rPr>
          <w:rFonts w:ascii="Arial" w:eastAsia="Times New Roman" w:hAnsi="Arial" w:cs="Arial"/>
          <w:color w:val="000000"/>
          <w:sz w:val="19"/>
          <w:szCs w:val="19"/>
          <w:lang w:eastAsia="fr-FR"/>
        </w:rPr>
        <w:lastRenderedPageBreak/>
        <w:t>l'obligation de participer aux charges et aux travaux mentionnés aux articles 10 et 30, les cotisations au fonds de travaux mentionné à l'article 14-2, les créances afférentes aux travaux de restauration immobilière réalisés en application du c du II de l'article 24, les dommages et intérêts alloués par les juridictions au syndicat des copropriétaires, ainsi que le remboursement des dépens. » ;</w:t>
      </w:r>
      <w:r w:rsidRPr="00874A27">
        <w:rPr>
          <w:rFonts w:ascii="Arial" w:eastAsia="Times New Roman" w:hAnsi="Arial" w:cs="Arial"/>
          <w:color w:val="000000"/>
          <w:sz w:val="19"/>
          <w:szCs w:val="19"/>
          <w:lang w:eastAsia="fr-FR"/>
        </w:rPr>
        <w:br/>
        <w:t>6° Après le deuxième alinéa de l'article 19-2, il est inséré un alinéa ainsi rédigé :</w:t>
      </w:r>
      <w:r w:rsidRPr="00874A27">
        <w:rPr>
          <w:rFonts w:ascii="Arial" w:eastAsia="Times New Roman" w:hAnsi="Arial" w:cs="Arial"/>
          <w:color w:val="000000"/>
          <w:sz w:val="19"/>
          <w:szCs w:val="19"/>
          <w:lang w:eastAsia="fr-FR"/>
        </w:rPr>
        <w:br/>
        <w:t>« Le présent article est applicable aux cotisations du fonds de travaux mentionné à l'article 14-2. » ;</w:t>
      </w:r>
      <w:r w:rsidRPr="00874A27">
        <w:rPr>
          <w:rFonts w:ascii="Arial" w:eastAsia="Times New Roman" w:hAnsi="Arial" w:cs="Arial"/>
          <w:color w:val="000000"/>
          <w:sz w:val="19"/>
          <w:szCs w:val="19"/>
          <w:lang w:eastAsia="fr-FR"/>
        </w:rPr>
        <w:br/>
        <w:t>7° Après le deuxième alinéa de l'article 24-4, il est inséré un alinéa ainsi rédigé :</w:t>
      </w:r>
      <w:r w:rsidRPr="00874A27">
        <w:rPr>
          <w:rFonts w:ascii="Arial" w:eastAsia="Times New Roman" w:hAnsi="Arial" w:cs="Arial"/>
          <w:color w:val="000000"/>
          <w:sz w:val="19"/>
          <w:szCs w:val="19"/>
          <w:lang w:eastAsia="fr-FR"/>
        </w:rPr>
        <w:br/>
        <w:t>« L'obligation prévue au premier alinéa est satisfaite si le plan pluriannuel de travaux, inscrit à l'ordre du jour de l'assemblée générale en application de l'article L. 731-2 du code de la construction et de l'habitation, comporte des travaux d'économie d'énergie. » ;</w:t>
      </w:r>
      <w:r w:rsidRPr="00874A27">
        <w:rPr>
          <w:rFonts w:ascii="Arial" w:eastAsia="Times New Roman" w:hAnsi="Arial" w:cs="Arial"/>
          <w:color w:val="000000"/>
          <w:sz w:val="19"/>
          <w:szCs w:val="19"/>
          <w:lang w:eastAsia="fr-FR"/>
        </w:rPr>
        <w:br/>
        <w:t>8° L'article 24-5 est ainsi modifié :</w:t>
      </w:r>
      <w:r w:rsidRPr="00874A27">
        <w:rPr>
          <w:rFonts w:ascii="Arial" w:eastAsia="Times New Roman" w:hAnsi="Arial" w:cs="Arial"/>
          <w:color w:val="000000"/>
          <w:sz w:val="19"/>
          <w:szCs w:val="19"/>
          <w:lang w:eastAsia="fr-FR"/>
        </w:rPr>
        <w:br/>
        <w:t>a) Après le mot : « équipé », sont insérés les mots : « de stationnements sécurisés pour les vélos ou » ;</w:t>
      </w:r>
      <w:r w:rsidRPr="00874A27">
        <w:rPr>
          <w:rFonts w:ascii="Arial" w:eastAsia="Times New Roman" w:hAnsi="Arial" w:cs="Arial"/>
          <w:color w:val="000000"/>
          <w:sz w:val="19"/>
          <w:szCs w:val="19"/>
          <w:lang w:eastAsia="fr-FR"/>
        </w:rPr>
        <w:br/>
        <w:t>b) Après la dernière occurrence du mot : « permettant », sont insérés les mots : « le stationnement sécurisé des vélos ou ».</w:t>
      </w:r>
      <w:r w:rsidRPr="00874A27">
        <w:rPr>
          <w:rFonts w:ascii="Arial" w:eastAsia="Times New Roman" w:hAnsi="Arial" w:cs="Arial"/>
          <w:color w:val="000000"/>
          <w:sz w:val="19"/>
          <w:szCs w:val="19"/>
          <w:lang w:eastAsia="fr-FR"/>
        </w:rPr>
        <w:br/>
        <w:t>II. - Le code de la construction et de l'habitation est ainsi modifié :</w:t>
      </w:r>
      <w:r w:rsidRPr="00874A27">
        <w:rPr>
          <w:rFonts w:ascii="Arial" w:eastAsia="Times New Roman" w:hAnsi="Arial" w:cs="Arial"/>
          <w:color w:val="000000"/>
          <w:sz w:val="19"/>
          <w:szCs w:val="19"/>
          <w:lang w:eastAsia="fr-FR"/>
        </w:rPr>
        <w:br/>
        <w:t>1° Le livre VII, tel qu'il résulte des articles 52 et 54 de la présente loi, est complété par un titre III 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III</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 ENTRETIEN, CONSERVATION ET AMÉLIORATION DES IMMEUBLES RELEVANT DU STATUT DE LA COPROPRIÉTÉ</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unique</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Diagnostic technique global des immeubles</w:t>
      </w:r>
      <w:r w:rsidRPr="00874A27">
        <w:rPr>
          <w:rFonts w:ascii="Arial" w:eastAsia="Times New Roman" w:hAnsi="Arial" w:cs="Arial"/>
          <w:color w:val="000000"/>
          <w:sz w:val="19"/>
          <w:szCs w:val="19"/>
          <w:lang w:eastAsia="fr-FR"/>
        </w:rPr>
        <w:br/>
        <w:t>relevant du statut de la copropriété</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731-1. - Afin d'assurer l'information des copropriétaires sur la situation générale de l'immeuble et, le cas échéant, aux fins d'élaboration d'un plan pluriannuel de travaux, l'assemblée générale des copropriétaires se prononce sur la question de faire réaliser par un tiers, disposant de compétences précisées par décret, un diagnostic technique global pour tout immeuble à destination partielle ou totale d'habitation relevant du statut de la copropriété.</w:t>
      </w:r>
      <w:r w:rsidRPr="00874A27">
        <w:rPr>
          <w:rFonts w:ascii="Arial" w:eastAsia="Times New Roman" w:hAnsi="Arial" w:cs="Arial"/>
          <w:color w:val="000000"/>
          <w:sz w:val="19"/>
          <w:szCs w:val="19"/>
          <w:lang w:eastAsia="fr-FR"/>
        </w:rPr>
        <w:br/>
        <w:t>« La décision de réaliser ce diagnostic ainsi que ses modalités de réalisation sont approuvées dans les conditions de majorité de l'</w:t>
      </w:r>
      <w:hyperlink r:id="rId245" w:history="1">
        <w:r w:rsidRPr="00874A27">
          <w:rPr>
            <w:rFonts w:ascii="Arial" w:eastAsia="Times New Roman" w:hAnsi="Arial" w:cs="Arial"/>
            <w:color w:val="336699"/>
            <w:sz w:val="19"/>
            <w:szCs w:val="19"/>
            <w:u w:val="single"/>
            <w:lang w:eastAsia="fr-FR"/>
          </w:rPr>
          <w:t>article 24 de la loi n° 65-557 du 10 juillet 1965</w:t>
        </w:r>
      </w:hyperlink>
      <w:r w:rsidRPr="00874A27">
        <w:rPr>
          <w:rFonts w:ascii="Arial" w:eastAsia="Times New Roman" w:hAnsi="Arial" w:cs="Arial"/>
          <w:color w:val="000000"/>
          <w:sz w:val="19"/>
          <w:szCs w:val="19"/>
          <w:lang w:eastAsia="fr-FR"/>
        </w:rPr>
        <w:t> fixant le statut de la copropriété des immeubles bâtis.</w:t>
      </w:r>
      <w:r w:rsidRPr="00874A27">
        <w:rPr>
          <w:rFonts w:ascii="Arial" w:eastAsia="Times New Roman" w:hAnsi="Arial" w:cs="Arial"/>
          <w:color w:val="000000"/>
          <w:sz w:val="19"/>
          <w:szCs w:val="19"/>
          <w:lang w:eastAsia="fr-FR"/>
        </w:rPr>
        <w:br/>
        <w:t>« Ce diagnostic technique global comporte :</w:t>
      </w:r>
      <w:r w:rsidRPr="00874A27">
        <w:rPr>
          <w:rFonts w:ascii="Arial" w:eastAsia="Times New Roman" w:hAnsi="Arial" w:cs="Arial"/>
          <w:color w:val="000000"/>
          <w:sz w:val="19"/>
          <w:szCs w:val="19"/>
          <w:lang w:eastAsia="fr-FR"/>
        </w:rPr>
        <w:br/>
        <w:t>« 1° Une analyse de l'état apparent des parties communes et des équipements communs de l'immeuble ;</w:t>
      </w:r>
      <w:r w:rsidRPr="00874A27">
        <w:rPr>
          <w:rFonts w:ascii="Arial" w:eastAsia="Times New Roman" w:hAnsi="Arial" w:cs="Arial"/>
          <w:color w:val="000000"/>
          <w:sz w:val="19"/>
          <w:szCs w:val="19"/>
          <w:lang w:eastAsia="fr-FR"/>
        </w:rPr>
        <w:br/>
        <w:t>« 2° Un état de la situation du syndicat des copropriétaires au regard des obligations légales et réglementaires au titre de la construction et de l'habitation ;</w:t>
      </w:r>
      <w:r w:rsidRPr="00874A27">
        <w:rPr>
          <w:rFonts w:ascii="Arial" w:eastAsia="Times New Roman" w:hAnsi="Arial" w:cs="Arial"/>
          <w:color w:val="000000"/>
          <w:sz w:val="19"/>
          <w:szCs w:val="19"/>
          <w:lang w:eastAsia="fr-FR"/>
        </w:rPr>
        <w:br/>
        <w:t>« 3° Une analyse des améliorations possibles de la gestion technique et patrimoniale de l'immeuble ;</w:t>
      </w:r>
      <w:r w:rsidRPr="00874A27">
        <w:rPr>
          <w:rFonts w:ascii="Arial" w:eastAsia="Times New Roman" w:hAnsi="Arial" w:cs="Arial"/>
          <w:color w:val="000000"/>
          <w:sz w:val="19"/>
          <w:szCs w:val="19"/>
          <w:lang w:eastAsia="fr-FR"/>
        </w:rPr>
        <w:br/>
        <w:t>« 4° Un diagnostic de performance énergétique de l'immeuble tel que prévu aux articles L. 134-3 ou L. 134-4-1 du présent code. L'audit énergétique prévu au même article L. 134-4-1 satisfait cette obligation.</w:t>
      </w:r>
      <w:r w:rsidRPr="00874A27">
        <w:rPr>
          <w:rFonts w:ascii="Arial" w:eastAsia="Times New Roman" w:hAnsi="Arial" w:cs="Arial"/>
          <w:color w:val="000000"/>
          <w:sz w:val="19"/>
          <w:szCs w:val="19"/>
          <w:lang w:eastAsia="fr-FR"/>
        </w:rPr>
        <w:br/>
        <w:t>« Il fait apparaître une évaluation sommaire du coût et une liste des travaux nécessaires à la conservation de l'immeuble, en précisant notamment ceux qui devraient être menés dans les dix prochaines années.</w:t>
      </w:r>
      <w:r w:rsidRPr="00874A27">
        <w:rPr>
          <w:rFonts w:ascii="Arial" w:eastAsia="Times New Roman" w:hAnsi="Arial" w:cs="Arial"/>
          <w:color w:val="000000"/>
          <w:sz w:val="19"/>
          <w:szCs w:val="19"/>
          <w:lang w:eastAsia="fr-FR"/>
        </w:rPr>
        <w:br/>
        <w:t>« Art. L. 731-2. - I. ― Le contenu du diagnostic technique global est présenté à la première assemblée générale des copropriétaires qui suit sa réalisation ou sa révision. Le syndic inscrit à l'ordre du jour de cette assemblée générale la question de l'élaboration d'un plan pluriannuel de travaux ainsi que les modalités générales de son éventuelle mise en œuvre.</w:t>
      </w:r>
      <w:r w:rsidRPr="00874A27">
        <w:rPr>
          <w:rFonts w:ascii="Arial" w:eastAsia="Times New Roman" w:hAnsi="Arial" w:cs="Arial"/>
          <w:color w:val="000000"/>
          <w:sz w:val="19"/>
          <w:szCs w:val="19"/>
          <w:lang w:eastAsia="fr-FR"/>
        </w:rPr>
        <w:br/>
        <w:t>« II. ― Au regard des orientations décidées par les copropriétaires lors des assemblées générales précédentes, le syndic inscrit à l'ordre du jour de chaque assemblée générale soit la question de l'élaboration d'un plan pluriannuel de travaux, soit les décisions relatives à la mise en œuvre du plan pluriannuel de travaux précédemment adopté.</w:t>
      </w:r>
      <w:r w:rsidRPr="00874A27">
        <w:rPr>
          <w:rFonts w:ascii="Arial" w:eastAsia="Times New Roman" w:hAnsi="Arial" w:cs="Arial"/>
          <w:color w:val="000000"/>
          <w:sz w:val="19"/>
          <w:szCs w:val="19"/>
          <w:lang w:eastAsia="fr-FR"/>
        </w:rPr>
        <w:br/>
        <w:t>« Art. L. 731-3. - Les travaux dont la réalisation apparaît nécessaire selon les délibérations de l'assemblée générale mentionnée au I de l'article L. 731-2, notamment aux termes du diagnostic technique global le cas échéant complété par des études complémentaires, sont intégrés au carnet d'entretien prévu à l'</w:t>
      </w:r>
      <w:hyperlink r:id="rId246" w:history="1">
        <w:r w:rsidRPr="00874A27">
          <w:rPr>
            <w:rFonts w:ascii="Arial" w:eastAsia="Times New Roman" w:hAnsi="Arial" w:cs="Arial"/>
            <w:color w:val="336699"/>
            <w:sz w:val="19"/>
            <w:szCs w:val="19"/>
            <w:u w:val="single"/>
            <w:lang w:eastAsia="fr-FR"/>
          </w:rPr>
          <w:t>article 18 de la loi n° 65-557 du 10 juillet 1965 précitée</w:t>
        </w:r>
      </w:hyperlink>
      <w:r w:rsidRPr="00874A27">
        <w:rPr>
          <w:rFonts w:ascii="Arial" w:eastAsia="Times New Roman" w:hAnsi="Arial" w:cs="Arial"/>
          <w:color w:val="000000"/>
          <w:sz w:val="19"/>
          <w:szCs w:val="19"/>
          <w:lang w:eastAsia="fr-FR"/>
        </w:rPr>
        <w:t>, selon des modalités précisées par décret.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Art. L. 731-4. - Toute mise en copropriété d'un immeuble construit depuis plus de dix ans est précédée du diagnostic technique global prévu à l'article L. 731-1.</w:t>
      </w:r>
      <w:r w:rsidRPr="00874A27">
        <w:rPr>
          <w:rFonts w:ascii="Arial" w:eastAsia="Times New Roman" w:hAnsi="Arial" w:cs="Arial"/>
          <w:color w:val="000000"/>
          <w:sz w:val="19"/>
          <w:szCs w:val="19"/>
          <w:lang w:eastAsia="fr-FR"/>
        </w:rPr>
        <w:br/>
        <w:t>« Art. L. 731-5. - I. ― Dans le cadre des procédures prévues à l'</w:t>
      </w:r>
      <w:hyperlink r:id="rId247" w:history="1">
        <w:r w:rsidRPr="00874A27">
          <w:rPr>
            <w:rFonts w:ascii="Arial" w:eastAsia="Times New Roman" w:hAnsi="Arial" w:cs="Arial"/>
            <w:color w:val="336699"/>
            <w:sz w:val="19"/>
            <w:szCs w:val="19"/>
            <w:u w:val="single"/>
            <w:lang w:eastAsia="fr-FR"/>
          </w:rPr>
          <w:t>article L. 1331-26 du code de la santé publique</w:t>
        </w:r>
      </w:hyperlink>
      <w:r w:rsidRPr="00874A27">
        <w:rPr>
          <w:rFonts w:ascii="Arial" w:eastAsia="Times New Roman" w:hAnsi="Arial" w:cs="Arial"/>
          <w:color w:val="000000"/>
          <w:sz w:val="19"/>
          <w:szCs w:val="19"/>
          <w:lang w:eastAsia="fr-FR"/>
        </w:rPr>
        <w:t> et aux articles L. 129-1 et L. 511-1 du présent code, l'autorité administrative compétente peut à tout moment, pour vérifier l'état de bon usage et de sécurité des parties communes d'un immeuble collectif à usage principal d'habitation soumis au statut de la copropriété présentant des désordres potentiels, demander au syndic de lui produire le diagnostic prévu à l'article L. 731-1.</w:t>
      </w:r>
      <w:r w:rsidRPr="00874A27">
        <w:rPr>
          <w:rFonts w:ascii="Arial" w:eastAsia="Times New Roman" w:hAnsi="Arial" w:cs="Arial"/>
          <w:color w:val="000000"/>
          <w:sz w:val="19"/>
          <w:szCs w:val="19"/>
          <w:lang w:eastAsia="fr-FR"/>
        </w:rPr>
        <w:br/>
        <w:t>« II. ― A défaut de production de ce diagnostic dans un délai d'un mois après notification de la demande, l'autorité administrative compétente mentionnée au I du présent article peut faire réaliser d'office le diagnostic prévu à l'article L. 731-1 en lieu et place du syndicat des copropriétaires et à ses frais. » ;</w:t>
      </w:r>
      <w:r w:rsidRPr="00874A27">
        <w:rPr>
          <w:rFonts w:ascii="Arial" w:eastAsia="Times New Roman" w:hAnsi="Arial" w:cs="Arial"/>
          <w:color w:val="000000"/>
          <w:sz w:val="19"/>
          <w:szCs w:val="19"/>
          <w:lang w:eastAsia="fr-FR"/>
        </w:rPr>
        <w:br/>
        <w:t>2° L'article L. 111-6-2 est abrogé.</w:t>
      </w:r>
      <w:r w:rsidRPr="00874A27">
        <w:rPr>
          <w:rFonts w:ascii="Arial" w:eastAsia="Times New Roman" w:hAnsi="Arial" w:cs="Arial"/>
          <w:color w:val="000000"/>
          <w:sz w:val="19"/>
          <w:szCs w:val="19"/>
          <w:lang w:eastAsia="fr-FR"/>
        </w:rPr>
        <w:br/>
        <w:t>III. - Le I, à l'exception du 1°, et le II sont applicables à compter du 1er janvier 2017.</w:t>
      </w:r>
      <w:r w:rsidRPr="00874A27">
        <w:rPr>
          <w:rFonts w:ascii="Arial" w:eastAsia="Times New Roman" w:hAnsi="Arial" w:cs="Arial"/>
          <w:color w:val="000000"/>
          <w:sz w:val="19"/>
          <w:szCs w:val="19"/>
          <w:lang w:eastAsia="fr-FR"/>
        </w:rPr>
        <w:br/>
        <w:t>IV. - Le titre Ier bis du livre II du code des assurances, dans sa rédaction résultant de l'article 21 de la présente loi, est complété par des articles L. 215-2 à L. 215-4 ainsi rédigés :</w:t>
      </w:r>
      <w:r w:rsidRPr="00874A27">
        <w:rPr>
          <w:rFonts w:ascii="Arial" w:eastAsia="Times New Roman" w:hAnsi="Arial" w:cs="Arial"/>
          <w:color w:val="000000"/>
          <w:sz w:val="19"/>
          <w:szCs w:val="19"/>
          <w:lang w:eastAsia="fr-FR"/>
        </w:rPr>
        <w:br/>
        <w:t>« Art. L. 215-2. - Tout copropriétaire ou tout syndicat des copropriétaires, représenté par son syndic, assujetti à l'obligation d'assurance prévue à l'article 9-1 de la loi n° 65-557 du 10 juillet 1965 fixant le statut de la copropriété des immeubles bâtis, ayant sollicité la souscription d'un contrat auprès d'une entreprise d'assurance couvrant en France les risques mentionnés à ce même article et qui se voit opposer un refus, peut également saisir le bureau central de tarification mentionné à l'article L. 215-1 du présent code, qui fixe le montant de la prime moyennant laquelle l'entreprise d'assurance intéressée est tenue de garantir, dans des conditions prévues par décret en Conseil d'Etat, le risque qui lui a été proposé. Il peut, dans les conditions fixées par décret en Conseil d'Etat, déterminer le montant d'une franchise qui reste à la charge de l'assuré.</w:t>
      </w:r>
      <w:r w:rsidRPr="00874A27">
        <w:rPr>
          <w:rFonts w:ascii="Arial" w:eastAsia="Times New Roman" w:hAnsi="Arial" w:cs="Arial"/>
          <w:color w:val="000000"/>
          <w:sz w:val="19"/>
          <w:szCs w:val="19"/>
          <w:lang w:eastAsia="fr-FR"/>
        </w:rPr>
        <w:br/>
        <w:t>« Dans ce cas, le dernier alinéa du même article L. 215-1 est applicable.</w:t>
      </w:r>
      <w:r w:rsidRPr="00874A27">
        <w:rPr>
          <w:rFonts w:ascii="Arial" w:eastAsia="Times New Roman" w:hAnsi="Arial" w:cs="Arial"/>
          <w:color w:val="000000"/>
          <w:sz w:val="19"/>
          <w:szCs w:val="19"/>
          <w:lang w:eastAsia="fr-FR"/>
        </w:rPr>
        <w:br/>
        <w:t>« Art. L. 215-3. - Est nulle toute clause des traités de réassurance tendant à exclure les risques mentionnés aux articles L. 215-1 et L. 215-2 de la garantie de réassurance en raison de la tarification adoptée par le bureau central de tarification.</w:t>
      </w:r>
      <w:r w:rsidRPr="00874A27">
        <w:rPr>
          <w:rFonts w:ascii="Arial" w:eastAsia="Times New Roman" w:hAnsi="Arial" w:cs="Arial"/>
          <w:color w:val="000000"/>
          <w:sz w:val="19"/>
          <w:szCs w:val="19"/>
          <w:lang w:eastAsia="fr-FR"/>
        </w:rPr>
        <w:br/>
        <w:t>« Art. L. 215-4. - Les conditions de constitution et les règles de fonctionnement du bureau central de tarification mentionné à l'article L. 215-1 sont fixées par décret en Conseil d'Etat. »</w:t>
      </w:r>
      <w:r w:rsidRPr="00874A27">
        <w:rPr>
          <w:rFonts w:ascii="Arial" w:eastAsia="Times New Roman" w:hAnsi="Arial" w:cs="Arial"/>
          <w:color w:val="000000"/>
          <w:sz w:val="19"/>
          <w:szCs w:val="19"/>
          <w:lang w:eastAsia="fr-FR"/>
        </w:rPr>
        <w:br/>
        <w:t>V. - Pour les résidences de tourisme mentionnées à l'</w:t>
      </w:r>
      <w:hyperlink r:id="rId248" w:history="1">
        <w:r w:rsidRPr="00874A27">
          <w:rPr>
            <w:rFonts w:ascii="Arial" w:eastAsia="Times New Roman" w:hAnsi="Arial" w:cs="Arial"/>
            <w:color w:val="336699"/>
            <w:sz w:val="19"/>
            <w:szCs w:val="19"/>
            <w:u w:val="single"/>
            <w:lang w:eastAsia="fr-FR"/>
          </w:rPr>
          <w:t>article L. 321-1 du code du tourisme</w:t>
        </w:r>
      </w:hyperlink>
      <w:r w:rsidRPr="00874A27">
        <w:rPr>
          <w:rFonts w:ascii="Arial" w:eastAsia="Times New Roman" w:hAnsi="Arial" w:cs="Arial"/>
          <w:color w:val="000000"/>
          <w:sz w:val="19"/>
          <w:szCs w:val="19"/>
          <w:lang w:eastAsia="fr-FR"/>
        </w:rPr>
        <w:t>, construites à partir du 1er juillet 2014, et placées sous le statut de la copropriété des immeubles bâtis fixé par la </w:t>
      </w:r>
      <w:hyperlink r:id="rId249" w:history="1">
        <w:r w:rsidRPr="00874A27">
          <w:rPr>
            <w:rFonts w:ascii="Arial" w:eastAsia="Times New Roman" w:hAnsi="Arial" w:cs="Arial"/>
            <w:color w:val="336699"/>
            <w:sz w:val="19"/>
            <w:szCs w:val="19"/>
            <w:u w:val="single"/>
            <w:lang w:eastAsia="fr-FR"/>
          </w:rPr>
          <w:t>loi n° 65-557 du 10 juillet 1965</w:t>
        </w:r>
      </w:hyperlink>
      <w:r w:rsidRPr="00874A27">
        <w:rPr>
          <w:rFonts w:ascii="Arial" w:eastAsia="Times New Roman" w:hAnsi="Arial" w:cs="Arial"/>
          <w:color w:val="000000"/>
          <w:sz w:val="19"/>
          <w:szCs w:val="19"/>
          <w:lang w:eastAsia="fr-FR"/>
        </w:rPr>
        <w:t> fixant le statut de la copropriété des immeubles bâtis, les locaux à usage collectif composés d'équipements et de services communs au sens de l'article D. 321-1 du même code ne peuvent faire l'objet d'un lot distinct vendu à un copropriétaire et font l'objet d'une propriété indivise du syndicat des copropriétaires.</w:t>
      </w:r>
      <w:r w:rsidRPr="00874A27">
        <w:rPr>
          <w:rFonts w:ascii="Arial" w:eastAsia="Times New Roman" w:hAnsi="Arial" w:cs="Arial"/>
          <w:color w:val="000000"/>
          <w:sz w:val="19"/>
          <w:szCs w:val="19"/>
          <w:lang w:eastAsia="fr-FR"/>
        </w:rPr>
        <w:br/>
        <w:t>Dans les résidences de tourisme, placées sous le statut de la copropriété des immeubles bâtis fixé par la </w:t>
      </w:r>
      <w:hyperlink r:id="rId250" w:history="1">
        <w:r w:rsidRPr="00874A27">
          <w:rPr>
            <w:rFonts w:ascii="Arial" w:eastAsia="Times New Roman" w:hAnsi="Arial" w:cs="Arial"/>
            <w:color w:val="336699"/>
            <w:sz w:val="19"/>
            <w:szCs w:val="19"/>
            <w:u w:val="single"/>
            <w:lang w:eastAsia="fr-FR"/>
          </w:rPr>
          <w:t>loi n° 65-557 du 10 juillet 1965 précitée</w:t>
        </w:r>
      </w:hyperlink>
      <w:r w:rsidRPr="00874A27">
        <w:rPr>
          <w:rFonts w:ascii="Arial" w:eastAsia="Times New Roman" w:hAnsi="Arial" w:cs="Arial"/>
          <w:color w:val="000000"/>
          <w:sz w:val="19"/>
          <w:szCs w:val="19"/>
          <w:lang w:eastAsia="fr-FR"/>
        </w:rPr>
        <w:t>, déjà existantes au 1er juillet 2014, lorsque les locaux à usage collectif faisant l'objet d'un lot distinct propriété d'un copropriétaire ne sont pas entretenus, entraînant un déclassement de cette résidence ou l'impossibilité de la commercialiser en offrant l'intégralité des prestations collectives initialement prévues lors de la vente des logements aux autres copropriétaires, l'assemblée générale des copropriétaires peut saisir le tribunal de grande instance d'une demande aux fins de voir prononcer un état de carence ou de constater abandon.</w:t>
      </w:r>
      <w:r w:rsidRPr="00874A27">
        <w:rPr>
          <w:rFonts w:ascii="Arial" w:eastAsia="Times New Roman" w:hAnsi="Arial" w:cs="Arial"/>
          <w:color w:val="000000"/>
          <w:sz w:val="19"/>
          <w:szCs w:val="19"/>
          <w:lang w:eastAsia="fr-FR"/>
        </w:rPr>
        <w:br/>
        <w:t>La responsabilité de l'entretien des locaux à usage collectif, pour lesquels est prononcé un état de carence, peut être confiée par le juge, à titre temporaire, au syndicat des copropriétaires. Le propriétaire de ces parties communes reste redevable des charges engagées par le syndicat des copropriétaires pour cet entretien.</w:t>
      </w:r>
      <w:r w:rsidRPr="00874A27">
        <w:rPr>
          <w:rFonts w:ascii="Arial" w:eastAsia="Times New Roman" w:hAnsi="Arial" w:cs="Arial"/>
          <w:color w:val="000000"/>
          <w:sz w:val="19"/>
          <w:szCs w:val="19"/>
          <w:lang w:eastAsia="fr-FR"/>
        </w:rPr>
        <w:br/>
        <w:t>En cas de défaillance avérée du propriétaire du lot considéré, les locaux à usage collectif dont est judiciairement constaté l'abandon peuvent devenir la propriété indivise du syndicat des copropriétaires, après le paiement d'une juste et préalable indemnité déterminée par le juge et versée au précédent propriétaire. Le syndicat des copropriétaires ne peut alors céder la propriété de ces locaux à usage collectif dans le cadre d'un lot distinct.</w:t>
      </w:r>
      <w:r w:rsidRPr="00874A27">
        <w:rPr>
          <w:rFonts w:ascii="Arial" w:eastAsia="Times New Roman" w:hAnsi="Arial" w:cs="Arial"/>
          <w:color w:val="000000"/>
          <w:sz w:val="19"/>
          <w:szCs w:val="19"/>
          <w:lang w:eastAsia="fr-FR"/>
        </w:rPr>
        <w:br/>
        <w:t>VI. - Le deuxième alinéa de l'article L. 221-4 du code monétaire et financier est complété par une phrase ainsi rédigée :</w:t>
      </w:r>
      <w:r w:rsidRPr="00874A27">
        <w:rPr>
          <w:rFonts w:ascii="Arial" w:eastAsia="Times New Roman" w:hAnsi="Arial" w:cs="Arial"/>
          <w:color w:val="000000"/>
          <w:sz w:val="19"/>
          <w:szCs w:val="19"/>
          <w:lang w:eastAsia="fr-FR"/>
        </w:rPr>
        <w:br/>
        <w:t>« Par dérogation au dernier alinéa de l'article L. 221-3, le plafond applicable aux livrets A dont sont titulaires les syndicats de copropriétaires est fixé en fonction du nombre de lots de la copropriété. »</w:t>
      </w:r>
      <w:r w:rsidRPr="00874A27">
        <w:rPr>
          <w:rFonts w:ascii="Arial" w:eastAsia="Times New Roman" w:hAnsi="Arial" w:cs="Arial"/>
          <w:color w:val="000000"/>
          <w:sz w:val="19"/>
          <w:szCs w:val="19"/>
          <w:lang w:eastAsia="fr-FR"/>
        </w:rPr>
        <w:br/>
        <w:t>VII. - Le VI entre en vigueur à compter d'une date mentionnée par décret et au plus tard le 1er janvier 2016.</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58" w:name="JORFARTI000028773591"/>
      <w:bookmarkEnd w:id="58"/>
      <w:r w:rsidRPr="00874A27">
        <w:rPr>
          <w:rFonts w:ascii="Arial" w:eastAsia="Times New Roman" w:hAnsi="Arial" w:cs="Arial"/>
          <w:b/>
          <w:bCs/>
          <w:color w:val="000000"/>
          <w:sz w:val="23"/>
          <w:szCs w:val="23"/>
          <w:lang w:eastAsia="fr-FR"/>
        </w:rPr>
        <w:t>Article 59 </w:t>
      </w:r>
      <w:hyperlink r:id="rId251" w:tooltip="En savoir plus sur l'article 5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I.-La loi n° 65-557 du 10 juillet 1965 précitée est ainsi modifiée :</w:t>
      </w:r>
      <w:r w:rsidRPr="00874A27">
        <w:rPr>
          <w:rFonts w:ascii="Arial" w:eastAsia="Times New Roman" w:hAnsi="Arial" w:cs="Arial"/>
          <w:color w:val="000000"/>
          <w:sz w:val="19"/>
          <w:szCs w:val="19"/>
          <w:lang w:eastAsia="fr-FR"/>
        </w:rPr>
        <w:br/>
        <w:t>1° L'article 9 est ainsi modifié :</w:t>
      </w:r>
      <w:r w:rsidRPr="00874A27">
        <w:rPr>
          <w:rFonts w:ascii="Arial" w:eastAsia="Times New Roman" w:hAnsi="Arial" w:cs="Arial"/>
          <w:color w:val="000000"/>
          <w:sz w:val="19"/>
          <w:szCs w:val="19"/>
          <w:lang w:eastAsia="fr-FR"/>
        </w:rPr>
        <w:br/>
        <w:t>a) Au deuxième alinéa, les références : « e, g, h, i et n » sont remplacées par les références : « a et b du II de l'article 24, des f, g et o » et la référence : «, du d de l'article 26 » est supprimée ;</w:t>
      </w:r>
      <w:r w:rsidRPr="00874A27">
        <w:rPr>
          <w:rFonts w:ascii="Arial" w:eastAsia="Times New Roman" w:hAnsi="Arial" w:cs="Arial"/>
          <w:color w:val="000000"/>
          <w:sz w:val="19"/>
          <w:szCs w:val="19"/>
          <w:lang w:eastAsia="fr-FR"/>
        </w:rPr>
        <w:br/>
        <w:t>b) Après le deuxième alinéa, il est inséré un alinéa ainsi rédigé :</w:t>
      </w:r>
      <w:r w:rsidRPr="00874A27">
        <w:rPr>
          <w:rFonts w:ascii="Arial" w:eastAsia="Times New Roman" w:hAnsi="Arial" w:cs="Arial"/>
          <w:color w:val="000000"/>
          <w:sz w:val="19"/>
          <w:szCs w:val="19"/>
          <w:lang w:eastAsia="fr-FR"/>
        </w:rPr>
        <w:br/>
        <w:t>« Pour la réalisation des travaux d'intérêt collectif réalisés sur les parties privatives, le syndicat exerce les pouvoirs du maître d'ouvrage jusqu'à réception des travaux. » ;</w:t>
      </w:r>
      <w:r w:rsidRPr="00874A27">
        <w:rPr>
          <w:rFonts w:ascii="Arial" w:eastAsia="Times New Roman" w:hAnsi="Arial" w:cs="Arial"/>
          <w:color w:val="000000"/>
          <w:sz w:val="19"/>
          <w:szCs w:val="19"/>
          <w:lang w:eastAsia="fr-FR"/>
        </w:rPr>
        <w:br/>
        <w:t>c) Au dernier alinéa, les références : « e, g, h et i » sont remplacées par les références : « a et b du II de l'article 24, des f, g et o » et la référence : «, par le d de l'article 26 » est supprimée ;</w:t>
      </w:r>
      <w:r w:rsidRPr="00874A27">
        <w:rPr>
          <w:rFonts w:ascii="Arial" w:eastAsia="Times New Roman" w:hAnsi="Arial" w:cs="Arial"/>
          <w:color w:val="000000"/>
          <w:sz w:val="19"/>
          <w:szCs w:val="19"/>
          <w:lang w:eastAsia="fr-FR"/>
        </w:rPr>
        <w:br/>
        <w:t>2° L'article 10-1 est ainsi modifié :</w:t>
      </w:r>
      <w:r w:rsidRPr="00874A27">
        <w:rPr>
          <w:rFonts w:ascii="Arial" w:eastAsia="Times New Roman" w:hAnsi="Arial" w:cs="Arial"/>
          <w:color w:val="000000"/>
          <w:sz w:val="19"/>
          <w:szCs w:val="19"/>
          <w:lang w:eastAsia="fr-FR"/>
        </w:rPr>
        <w:br/>
        <w:t>a) Le b est complété par une phrase ainsi rédigée :</w:t>
      </w:r>
      <w:r w:rsidRPr="00874A27">
        <w:rPr>
          <w:rFonts w:ascii="Arial" w:eastAsia="Times New Roman" w:hAnsi="Arial" w:cs="Arial"/>
          <w:color w:val="000000"/>
          <w:sz w:val="19"/>
          <w:szCs w:val="19"/>
          <w:lang w:eastAsia="fr-FR"/>
        </w:rPr>
        <w:br/>
        <w:t>« Les honoraires ou frais perçus par le syndic au titre des prestations susmentionnées ne peuvent excéder un montant fixé par décret ; »</w:t>
      </w:r>
      <w:r w:rsidRPr="00874A27">
        <w:rPr>
          <w:rFonts w:ascii="Arial" w:eastAsia="Times New Roman" w:hAnsi="Arial" w:cs="Arial"/>
          <w:color w:val="000000"/>
          <w:sz w:val="19"/>
          <w:szCs w:val="19"/>
          <w:lang w:eastAsia="fr-FR"/>
        </w:rPr>
        <w:br/>
        <w:t>b) A la fin du c, les mots : « en application du g de l'article 25 » sont remplacés par les mots : « notamment en application du c du II de l'article 24 et du f de l'article 25 » ;</w:t>
      </w:r>
      <w:r w:rsidRPr="00874A27">
        <w:rPr>
          <w:rFonts w:ascii="Arial" w:eastAsia="Times New Roman" w:hAnsi="Arial" w:cs="Arial"/>
          <w:color w:val="000000"/>
          <w:sz w:val="19"/>
          <w:szCs w:val="19"/>
          <w:lang w:eastAsia="fr-FR"/>
        </w:rPr>
        <w:br/>
        <w:t>3° A la première phrase de l'article 18-1, après les mots : « copropriété, notamment », sont insérés les mots : «, le cas échéant, une note d'information sur les modalités de calcul des charges de chauffage et de production d'eau chaude sanitaire collectifs, » ;</w:t>
      </w:r>
      <w:r w:rsidRPr="00874A27">
        <w:rPr>
          <w:rFonts w:ascii="Arial" w:eastAsia="Times New Roman" w:hAnsi="Arial" w:cs="Arial"/>
          <w:color w:val="000000"/>
          <w:sz w:val="19"/>
          <w:szCs w:val="19"/>
          <w:lang w:eastAsia="fr-FR"/>
        </w:rPr>
        <w:br/>
        <w:t>4° L'article 24 est ainsi modifié :</w:t>
      </w:r>
      <w:r w:rsidRPr="00874A27">
        <w:rPr>
          <w:rFonts w:ascii="Arial" w:eastAsia="Times New Roman" w:hAnsi="Arial" w:cs="Arial"/>
          <w:color w:val="000000"/>
          <w:sz w:val="19"/>
          <w:szCs w:val="19"/>
          <w:lang w:eastAsia="fr-FR"/>
        </w:rPr>
        <w:br/>
        <w:t>a) Au début du premier alinéa, est ajoutée la mention : « I. ― » ;</w:t>
      </w:r>
      <w:r w:rsidRPr="00874A27">
        <w:rPr>
          <w:rFonts w:ascii="Arial" w:eastAsia="Times New Roman" w:hAnsi="Arial" w:cs="Arial"/>
          <w:color w:val="000000"/>
          <w:sz w:val="19"/>
          <w:szCs w:val="19"/>
          <w:lang w:eastAsia="fr-FR"/>
        </w:rPr>
        <w:br/>
        <w:t>b) Les deuxième et troisième alinéas sont supprimés ;</w:t>
      </w:r>
      <w:r w:rsidRPr="00874A27">
        <w:rPr>
          <w:rFonts w:ascii="Arial" w:eastAsia="Times New Roman" w:hAnsi="Arial" w:cs="Arial"/>
          <w:color w:val="000000"/>
          <w:sz w:val="19"/>
          <w:szCs w:val="19"/>
          <w:lang w:eastAsia="fr-FR"/>
        </w:rPr>
        <w:br/>
        <w:t>c) Après le troisième alinéa, il est inséré un II ainsi rédigé :</w:t>
      </w:r>
      <w:r w:rsidRPr="00874A27">
        <w:rPr>
          <w:rFonts w:ascii="Arial" w:eastAsia="Times New Roman" w:hAnsi="Arial" w:cs="Arial"/>
          <w:color w:val="000000"/>
          <w:sz w:val="19"/>
          <w:szCs w:val="19"/>
          <w:lang w:eastAsia="fr-FR"/>
        </w:rPr>
        <w:br/>
        <w:t>« II. ― Sont notamment approuvés dans les conditions de majorité prévues au I :</w:t>
      </w:r>
      <w:r w:rsidRPr="00874A27">
        <w:rPr>
          <w:rFonts w:ascii="Arial" w:eastAsia="Times New Roman" w:hAnsi="Arial" w:cs="Arial"/>
          <w:color w:val="000000"/>
          <w:sz w:val="19"/>
          <w:szCs w:val="19"/>
          <w:lang w:eastAsia="fr-FR"/>
        </w:rPr>
        <w:br/>
        <w:t>« a) Les travaux nécessaires à la conservation de l'immeuble ainsi qu'à la préservation de la santé et de la sécurité physique des occupants, qui incluent les travaux portant sur la stabilité de l'immeuble, le clos, le couvert ou les réseaux et les travaux permettant d'assurer la mise en conformité des logements avec les normes de salubrité, de sécurité et d'équipement définies par les dispositions prises pour l'application de l'</w:t>
      </w:r>
      <w:hyperlink r:id="rId252" w:history="1">
        <w:r w:rsidRPr="00874A27">
          <w:rPr>
            <w:rFonts w:ascii="Arial" w:eastAsia="Times New Roman" w:hAnsi="Arial" w:cs="Arial"/>
            <w:color w:val="336699"/>
            <w:sz w:val="19"/>
            <w:szCs w:val="19"/>
            <w:u w:val="single"/>
            <w:lang w:eastAsia="fr-FR"/>
          </w:rPr>
          <w:t>article 1er de la loi n° 67-561 du 12 juillet 1967 </w:t>
        </w:r>
      </w:hyperlink>
      <w:r w:rsidRPr="00874A27">
        <w:rPr>
          <w:rFonts w:ascii="Arial" w:eastAsia="Times New Roman" w:hAnsi="Arial" w:cs="Arial"/>
          <w:color w:val="000000"/>
          <w:sz w:val="19"/>
          <w:szCs w:val="19"/>
          <w:lang w:eastAsia="fr-FR"/>
        </w:rPr>
        <w:t>relative à l'amélioration de l'habitat ;</w:t>
      </w:r>
      <w:r w:rsidRPr="00874A27">
        <w:rPr>
          <w:rFonts w:ascii="Arial" w:eastAsia="Times New Roman" w:hAnsi="Arial" w:cs="Arial"/>
          <w:color w:val="000000"/>
          <w:sz w:val="19"/>
          <w:szCs w:val="19"/>
          <w:lang w:eastAsia="fr-FR"/>
        </w:rPr>
        <w:br/>
        <w:t>« b) Les modalités de réalisation et d'exécution des travaux rendus obligatoires en vertu de dispositions législatives ou réglementaires ou d'un arrêté de police administrative relatif à la sécurité ou à la salubrité publique, notifié au syndicat des copropriétaires pris en la personne du syndic ;</w:t>
      </w:r>
      <w:r w:rsidRPr="00874A27">
        <w:rPr>
          <w:rFonts w:ascii="Arial" w:eastAsia="Times New Roman" w:hAnsi="Arial" w:cs="Arial"/>
          <w:color w:val="000000"/>
          <w:sz w:val="19"/>
          <w:szCs w:val="19"/>
          <w:lang w:eastAsia="fr-FR"/>
        </w:rPr>
        <w:br/>
        <w:t>« c) Les modalités de réalisation et d'exécution des travaux notifiés en vertu de l'</w:t>
      </w:r>
      <w:hyperlink r:id="rId253" w:history="1">
        <w:r w:rsidRPr="00874A27">
          <w:rPr>
            <w:rFonts w:ascii="Arial" w:eastAsia="Times New Roman" w:hAnsi="Arial" w:cs="Arial"/>
            <w:color w:val="336699"/>
            <w:sz w:val="19"/>
            <w:szCs w:val="19"/>
            <w:u w:val="single"/>
            <w:lang w:eastAsia="fr-FR"/>
          </w:rPr>
          <w:t>article L. 313-4-2 du code de l'urbanisme</w:t>
        </w:r>
      </w:hyperlink>
      <w:r w:rsidRPr="00874A27">
        <w:rPr>
          <w:rFonts w:ascii="Arial" w:eastAsia="Times New Roman" w:hAnsi="Arial" w:cs="Arial"/>
          <w:color w:val="000000"/>
          <w:sz w:val="19"/>
          <w:szCs w:val="19"/>
          <w:lang w:eastAsia="fr-FR"/>
        </w:rPr>
        <w:t>, notamment la faculté pour le syndicat des copropriétaires d'assurer la maîtrise d'ouvrage des travaux notifiés portant sur les parties privatives de tout ou partie des copropriétaires et qui sont alors réalisés aux frais du copropriétaire du lot concerné ;</w:t>
      </w:r>
      <w:r w:rsidRPr="00874A27">
        <w:rPr>
          <w:rFonts w:ascii="Arial" w:eastAsia="Times New Roman" w:hAnsi="Arial" w:cs="Arial"/>
          <w:color w:val="000000"/>
          <w:sz w:val="19"/>
          <w:szCs w:val="19"/>
          <w:lang w:eastAsia="fr-FR"/>
        </w:rPr>
        <w:br/>
        <w:t>« d) Les travaux d'accessibilité aux personnes handicapées ou à mobilité réduite, sous réserve qu'ils n'affectent pas la structure de l'immeuble ou ses éléments d'équipement essentiels ;</w:t>
      </w:r>
      <w:r w:rsidRPr="00874A27">
        <w:rPr>
          <w:rFonts w:ascii="Arial" w:eastAsia="Times New Roman" w:hAnsi="Arial" w:cs="Arial"/>
          <w:color w:val="000000"/>
          <w:sz w:val="19"/>
          <w:szCs w:val="19"/>
          <w:lang w:eastAsia="fr-FR"/>
        </w:rPr>
        <w:br/>
        <w:t>« e) L'autorisation donnée à certains copropriétaires d'effectuer, à leurs frais, des travaux d'accessibilité aux personnes handicapées ou à mobilité réduite qui affectent les parties communes ou l'aspect extérieur de l'immeuble et conformes à la destination de celui-ci, sous réserve que ces travaux n'affectent pas la structure de l'immeuble ou ses éléments d'équipement essentiels ;</w:t>
      </w:r>
      <w:r w:rsidRPr="00874A27">
        <w:rPr>
          <w:rFonts w:ascii="Arial" w:eastAsia="Times New Roman" w:hAnsi="Arial" w:cs="Arial"/>
          <w:color w:val="000000"/>
          <w:sz w:val="19"/>
          <w:szCs w:val="19"/>
          <w:lang w:eastAsia="fr-FR"/>
        </w:rPr>
        <w:br/>
        <w:t>« f) Les adaptations du règlement de copropriété rendues nécessaires par les modifications législatives et réglementaires intervenues depuis son établissement. La publication de ces modifications du règlement de copropriété est effectuée au droit fixe ;</w:t>
      </w:r>
      <w:r w:rsidRPr="00874A27">
        <w:rPr>
          <w:rFonts w:ascii="Arial" w:eastAsia="Times New Roman" w:hAnsi="Arial" w:cs="Arial"/>
          <w:color w:val="000000"/>
          <w:sz w:val="19"/>
          <w:szCs w:val="19"/>
          <w:lang w:eastAsia="fr-FR"/>
        </w:rPr>
        <w:br/>
        <w:t>« g) La décision d'engager le diagnostic prévu à l'article L. 731-1 du code de la construction et de l'habitation ainsi que ses modalités de réalisation. » ;</w:t>
      </w:r>
      <w:r w:rsidRPr="00874A27">
        <w:rPr>
          <w:rFonts w:ascii="Arial" w:eastAsia="Times New Roman" w:hAnsi="Arial" w:cs="Arial"/>
          <w:color w:val="000000"/>
          <w:sz w:val="19"/>
          <w:szCs w:val="19"/>
          <w:lang w:eastAsia="fr-FR"/>
        </w:rPr>
        <w:br/>
        <w:t>d) Au début du dernier alinéa, est ajoutée la mention : « III. ― » ;</w:t>
      </w:r>
      <w:r w:rsidRPr="00874A27">
        <w:rPr>
          <w:rFonts w:ascii="Arial" w:eastAsia="Times New Roman" w:hAnsi="Arial" w:cs="Arial"/>
          <w:color w:val="000000"/>
          <w:sz w:val="19"/>
          <w:szCs w:val="19"/>
          <w:lang w:eastAsia="fr-FR"/>
        </w:rPr>
        <w:br/>
        <w:t>5° Au second alinéa de l'article 24-1, la référence : « j » est remplacée par la référence : « h » et, après le mot : « alinéa », est insérée la référence : « du I » ;</w:t>
      </w:r>
      <w:r w:rsidRPr="00874A27">
        <w:rPr>
          <w:rFonts w:ascii="Arial" w:eastAsia="Times New Roman" w:hAnsi="Arial" w:cs="Arial"/>
          <w:color w:val="000000"/>
          <w:sz w:val="19"/>
          <w:szCs w:val="19"/>
          <w:lang w:eastAsia="fr-FR"/>
        </w:rPr>
        <w:br/>
        <w:t>6° Au dernier alinéa de l'article 24-2 et au deuxième alinéa de l'article 24-3, après les mots : « premier alinéa », est insérée la référence : « du I » et la référence : « j » est remplacée par la référence : « h » ;</w:t>
      </w:r>
      <w:r w:rsidRPr="00874A27">
        <w:rPr>
          <w:rFonts w:ascii="Arial" w:eastAsia="Times New Roman" w:hAnsi="Arial" w:cs="Arial"/>
          <w:color w:val="000000"/>
          <w:sz w:val="19"/>
          <w:szCs w:val="19"/>
          <w:lang w:eastAsia="fr-FR"/>
        </w:rPr>
        <w:br/>
        <w:t>7° L'article 25 est ainsi modifié :</w:t>
      </w:r>
      <w:r w:rsidRPr="00874A27">
        <w:rPr>
          <w:rFonts w:ascii="Arial" w:eastAsia="Times New Roman" w:hAnsi="Arial" w:cs="Arial"/>
          <w:color w:val="000000"/>
          <w:sz w:val="19"/>
          <w:szCs w:val="19"/>
          <w:lang w:eastAsia="fr-FR"/>
        </w:rPr>
        <w:br/>
        <w:t>a) Le a est complété par les mots et une phrase ainsi rédigée : «, ainsi que, lorsque le syndicat comporte au plus quinze lots à usage de logements, de bureaux ou de commerces, toute délégation de pouvoir concernant la mise en application et le suivi des travaux et contrats financés dans le cadre du budget prévisionnel de charges. Dans ce dernier cas, les membres du conseil syndical doivent être couverts par une assurance de responsabilité civile ; »</w:t>
      </w:r>
      <w:r w:rsidRPr="00874A27">
        <w:rPr>
          <w:rFonts w:ascii="Arial" w:eastAsia="Times New Roman" w:hAnsi="Arial" w:cs="Arial"/>
          <w:color w:val="000000"/>
          <w:sz w:val="19"/>
          <w:szCs w:val="19"/>
          <w:lang w:eastAsia="fr-FR"/>
        </w:rPr>
        <w:br/>
        <w:t>b) Le e est abrogé ;</w:t>
      </w:r>
      <w:r w:rsidRPr="00874A27">
        <w:rPr>
          <w:rFonts w:ascii="Arial" w:eastAsia="Times New Roman" w:hAnsi="Arial" w:cs="Arial"/>
          <w:color w:val="000000"/>
          <w:sz w:val="19"/>
          <w:szCs w:val="19"/>
          <w:lang w:eastAsia="fr-FR"/>
        </w:rPr>
        <w:br/>
        <w:t>c) Le f devient le e ;</w:t>
      </w:r>
      <w:r w:rsidRPr="00874A27">
        <w:rPr>
          <w:rFonts w:ascii="Arial" w:eastAsia="Times New Roman" w:hAnsi="Arial" w:cs="Arial"/>
          <w:color w:val="000000"/>
          <w:sz w:val="19"/>
          <w:szCs w:val="19"/>
          <w:lang w:eastAsia="fr-FR"/>
        </w:rPr>
        <w:br/>
        <w:t>d) Le g devient le f ainsi modifié :</w:t>
      </w:r>
      <w:r w:rsidRPr="00874A27">
        <w:rPr>
          <w:rFonts w:ascii="Arial" w:eastAsia="Times New Roman" w:hAnsi="Arial" w:cs="Arial"/>
          <w:color w:val="000000"/>
          <w:sz w:val="19"/>
          <w:szCs w:val="19"/>
          <w:lang w:eastAsia="fr-FR"/>
        </w:rPr>
        <w:br/>
        <w:t>― la dernière phrase du premier alinéa est supprimée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à la fin du second alinéa, la référence : « g » est remplacée par la référence : « f » ;</w:t>
      </w:r>
      <w:r w:rsidRPr="00874A27">
        <w:rPr>
          <w:rFonts w:ascii="Arial" w:eastAsia="Times New Roman" w:hAnsi="Arial" w:cs="Arial"/>
          <w:color w:val="000000"/>
          <w:sz w:val="19"/>
          <w:szCs w:val="19"/>
          <w:lang w:eastAsia="fr-FR"/>
        </w:rPr>
        <w:br/>
        <w:t>e) Le h est abrogé ;</w:t>
      </w:r>
      <w:r w:rsidRPr="00874A27">
        <w:rPr>
          <w:rFonts w:ascii="Arial" w:eastAsia="Times New Roman" w:hAnsi="Arial" w:cs="Arial"/>
          <w:color w:val="000000"/>
          <w:sz w:val="19"/>
          <w:szCs w:val="19"/>
          <w:lang w:eastAsia="fr-FR"/>
        </w:rPr>
        <w:br/>
        <w:t>f) Le i devient le g ;</w:t>
      </w:r>
      <w:r w:rsidRPr="00874A27">
        <w:rPr>
          <w:rFonts w:ascii="Arial" w:eastAsia="Times New Roman" w:hAnsi="Arial" w:cs="Arial"/>
          <w:color w:val="000000"/>
          <w:sz w:val="19"/>
          <w:szCs w:val="19"/>
          <w:lang w:eastAsia="fr-FR"/>
        </w:rPr>
        <w:br/>
        <w:t>g) Le j devient le h ;</w:t>
      </w:r>
      <w:r w:rsidRPr="00874A27">
        <w:rPr>
          <w:rFonts w:ascii="Arial" w:eastAsia="Times New Roman" w:hAnsi="Arial" w:cs="Arial"/>
          <w:color w:val="000000"/>
          <w:sz w:val="19"/>
          <w:szCs w:val="19"/>
          <w:lang w:eastAsia="fr-FR"/>
        </w:rPr>
        <w:br/>
        <w:t>h) Le k devient le i ;</w:t>
      </w:r>
      <w:r w:rsidRPr="00874A27">
        <w:rPr>
          <w:rFonts w:ascii="Arial" w:eastAsia="Times New Roman" w:hAnsi="Arial" w:cs="Arial"/>
          <w:color w:val="000000"/>
          <w:sz w:val="19"/>
          <w:szCs w:val="19"/>
          <w:lang w:eastAsia="fr-FR"/>
        </w:rPr>
        <w:br/>
        <w:t>i) Le l devient le j ;</w:t>
      </w:r>
      <w:r w:rsidRPr="00874A27">
        <w:rPr>
          <w:rFonts w:ascii="Arial" w:eastAsia="Times New Roman" w:hAnsi="Arial" w:cs="Arial"/>
          <w:color w:val="000000"/>
          <w:sz w:val="19"/>
          <w:szCs w:val="19"/>
          <w:lang w:eastAsia="fr-FR"/>
        </w:rPr>
        <w:br/>
        <w:t>j) Le m devient le k ;</w:t>
      </w:r>
      <w:r w:rsidRPr="00874A27">
        <w:rPr>
          <w:rFonts w:ascii="Arial" w:eastAsia="Times New Roman" w:hAnsi="Arial" w:cs="Arial"/>
          <w:color w:val="000000"/>
          <w:sz w:val="19"/>
          <w:szCs w:val="19"/>
          <w:lang w:eastAsia="fr-FR"/>
        </w:rPr>
        <w:br/>
        <w:t>k) Le n est abrogé ;</w:t>
      </w:r>
      <w:r w:rsidRPr="00874A27">
        <w:rPr>
          <w:rFonts w:ascii="Arial" w:eastAsia="Times New Roman" w:hAnsi="Arial" w:cs="Arial"/>
          <w:color w:val="000000"/>
          <w:sz w:val="19"/>
          <w:szCs w:val="19"/>
          <w:lang w:eastAsia="fr-FR"/>
        </w:rPr>
        <w:br/>
        <w:t>l) Le o devient le l ;</w:t>
      </w:r>
      <w:r w:rsidRPr="00874A27">
        <w:rPr>
          <w:rFonts w:ascii="Arial" w:eastAsia="Times New Roman" w:hAnsi="Arial" w:cs="Arial"/>
          <w:color w:val="000000"/>
          <w:sz w:val="19"/>
          <w:szCs w:val="19"/>
          <w:lang w:eastAsia="fr-FR"/>
        </w:rPr>
        <w:br/>
        <w:t>m) Le p devient le m ;</w:t>
      </w:r>
      <w:r w:rsidRPr="00874A27">
        <w:rPr>
          <w:rFonts w:ascii="Arial" w:eastAsia="Times New Roman" w:hAnsi="Arial" w:cs="Arial"/>
          <w:color w:val="000000"/>
          <w:sz w:val="19"/>
          <w:szCs w:val="19"/>
          <w:lang w:eastAsia="fr-FR"/>
        </w:rPr>
        <w:br/>
        <w:t>n) Après le m, sont rétablis des n et o ainsi rédigés :</w:t>
      </w:r>
      <w:r w:rsidRPr="00874A27">
        <w:rPr>
          <w:rFonts w:ascii="Arial" w:eastAsia="Times New Roman" w:hAnsi="Arial" w:cs="Arial"/>
          <w:color w:val="000000"/>
          <w:sz w:val="19"/>
          <w:szCs w:val="19"/>
          <w:lang w:eastAsia="fr-FR"/>
        </w:rPr>
        <w:br/>
        <w:t>« n) L'ensemble des travaux comportant transformation, addition ou amélioration ;</w:t>
      </w:r>
      <w:r w:rsidRPr="00874A27">
        <w:rPr>
          <w:rFonts w:ascii="Arial" w:eastAsia="Times New Roman" w:hAnsi="Arial" w:cs="Arial"/>
          <w:color w:val="000000"/>
          <w:sz w:val="19"/>
          <w:szCs w:val="19"/>
          <w:lang w:eastAsia="fr-FR"/>
        </w:rPr>
        <w:br/>
        <w:t>« o) La demande d'individualisation des contrats de fourniture d'eau et la réalisation des études et travaux nécessaires à cette individualisation. » ;</w:t>
      </w:r>
      <w:r w:rsidRPr="00874A27">
        <w:rPr>
          <w:rFonts w:ascii="Arial" w:eastAsia="Times New Roman" w:hAnsi="Arial" w:cs="Arial"/>
          <w:color w:val="000000"/>
          <w:sz w:val="19"/>
          <w:szCs w:val="19"/>
          <w:lang w:eastAsia="fr-FR"/>
        </w:rPr>
        <w:br/>
        <w:t>8° L'article 25-1 est complété par un alinéa ainsi rédigé :</w:t>
      </w:r>
      <w:r w:rsidRPr="00874A27">
        <w:rPr>
          <w:rFonts w:ascii="Arial" w:eastAsia="Times New Roman" w:hAnsi="Arial" w:cs="Arial"/>
          <w:color w:val="000000"/>
          <w:sz w:val="19"/>
          <w:szCs w:val="19"/>
          <w:lang w:eastAsia="fr-FR"/>
        </w:rPr>
        <w:br/>
        <w:t>« Le présent article n'est pas applicable aux décisions mentionnées aux n et o de l'article 25. » ;</w:t>
      </w:r>
      <w:r w:rsidRPr="00874A27">
        <w:rPr>
          <w:rFonts w:ascii="Arial" w:eastAsia="Times New Roman" w:hAnsi="Arial" w:cs="Arial"/>
          <w:color w:val="000000"/>
          <w:sz w:val="19"/>
          <w:szCs w:val="19"/>
          <w:lang w:eastAsia="fr-FR"/>
        </w:rPr>
        <w:br/>
        <w:t>9° L'article 26 est ainsi modifié :</w:t>
      </w:r>
      <w:r w:rsidRPr="00874A27">
        <w:rPr>
          <w:rFonts w:ascii="Arial" w:eastAsia="Times New Roman" w:hAnsi="Arial" w:cs="Arial"/>
          <w:color w:val="000000"/>
          <w:sz w:val="19"/>
          <w:szCs w:val="19"/>
          <w:lang w:eastAsia="fr-FR"/>
        </w:rPr>
        <w:br/>
        <w:t>a) Les c et d sont abrogés ;</w:t>
      </w:r>
      <w:r w:rsidRPr="00874A27">
        <w:rPr>
          <w:rFonts w:ascii="Arial" w:eastAsia="Times New Roman" w:hAnsi="Arial" w:cs="Arial"/>
          <w:color w:val="000000"/>
          <w:sz w:val="19"/>
          <w:szCs w:val="19"/>
          <w:lang w:eastAsia="fr-FR"/>
        </w:rPr>
        <w:br/>
        <w:t>b) Au e, qui devient le c, la dernière phrase est supprimée ;</w:t>
      </w:r>
      <w:r w:rsidRPr="00874A27">
        <w:rPr>
          <w:rFonts w:ascii="Arial" w:eastAsia="Times New Roman" w:hAnsi="Arial" w:cs="Arial"/>
          <w:color w:val="000000"/>
          <w:sz w:val="19"/>
          <w:szCs w:val="19"/>
          <w:lang w:eastAsia="fr-FR"/>
        </w:rPr>
        <w:br/>
        <w:t>c) Le f devient le d ainsi rédigé :</w:t>
      </w:r>
      <w:r w:rsidRPr="00874A27">
        <w:rPr>
          <w:rFonts w:ascii="Arial" w:eastAsia="Times New Roman" w:hAnsi="Arial" w:cs="Arial"/>
          <w:color w:val="000000"/>
          <w:sz w:val="19"/>
          <w:szCs w:val="19"/>
          <w:lang w:eastAsia="fr-FR"/>
        </w:rPr>
        <w:br/>
        <w:t>« d) La suppression du poste de concierge ou de gardien et l'aliénation du logement affecté au concierge ou au gardien lorsqu'il appartient au syndicat. Les deux questions sont inscrites à l'ordre du jour de la même assemblée générale.</w:t>
      </w:r>
      <w:r w:rsidRPr="00874A27">
        <w:rPr>
          <w:rFonts w:ascii="Arial" w:eastAsia="Times New Roman" w:hAnsi="Arial" w:cs="Arial"/>
          <w:color w:val="000000"/>
          <w:sz w:val="19"/>
          <w:szCs w:val="19"/>
          <w:lang w:eastAsia="fr-FR"/>
        </w:rPr>
        <w:br/>
        <w:t>« Lorsqu'en vertu d'une clause du règlement de copropriété la suppression du service de conciergerie porte atteinte à la destination de l'immeuble ou aux modalités de jouissance des parties privatives, la suppression du poste de concierge ou de gardien et l'aliénation du logement affecté au concierge ou au gardien lorsqu'il appartient au syndicat ne peuvent être décidées qu'à l'unanimité. » ;</w:t>
      </w:r>
      <w:r w:rsidRPr="00874A27">
        <w:rPr>
          <w:rFonts w:ascii="Arial" w:eastAsia="Times New Roman" w:hAnsi="Arial" w:cs="Arial"/>
          <w:color w:val="000000"/>
          <w:sz w:val="19"/>
          <w:szCs w:val="19"/>
          <w:lang w:eastAsia="fr-FR"/>
        </w:rPr>
        <w:br/>
        <w:t>d) Le dernier alinéa est supprimé ;</w:t>
      </w:r>
      <w:r w:rsidRPr="00874A27">
        <w:rPr>
          <w:rFonts w:ascii="Arial" w:eastAsia="Times New Roman" w:hAnsi="Arial" w:cs="Arial"/>
          <w:color w:val="000000"/>
          <w:sz w:val="19"/>
          <w:szCs w:val="19"/>
          <w:lang w:eastAsia="fr-FR"/>
        </w:rPr>
        <w:br/>
        <w:t>10° L'article 26-6 est complété par un alinéa ainsi rédigé :</w:t>
      </w:r>
      <w:r w:rsidRPr="00874A27">
        <w:rPr>
          <w:rFonts w:ascii="Arial" w:eastAsia="Times New Roman" w:hAnsi="Arial" w:cs="Arial"/>
          <w:color w:val="000000"/>
          <w:sz w:val="19"/>
          <w:szCs w:val="19"/>
          <w:lang w:eastAsia="fr-FR"/>
        </w:rPr>
        <w:br/>
        <w:t>« L'assemblée générale peut autoriser le syndic, dans les conditions prévues au IV de l'article 18, à déléguer à l'établissement prêteur la faculté de prélever les sommes dues au titre du remboursement de l'emprunt collectif et du paiement des accessoires directement sur les comptes bancaires des copropriétaires y participant, ainsi qu'à mettre en œuvre les voies de recouvrement en cas d'impayé. » ;</w:t>
      </w:r>
      <w:r w:rsidRPr="00874A27">
        <w:rPr>
          <w:rFonts w:ascii="Arial" w:eastAsia="Times New Roman" w:hAnsi="Arial" w:cs="Arial"/>
          <w:color w:val="000000"/>
          <w:sz w:val="19"/>
          <w:szCs w:val="19"/>
          <w:lang w:eastAsia="fr-FR"/>
        </w:rPr>
        <w:br/>
        <w:t>11° Après le deuxième alinéa de l'article 26-7, il est inséré un alinéa ainsi rédigé :</w:t>
      </w:r>
      <w:r w:rsidRPr="00874A27">
        <w:rPr>
          <w:rFonts w:ascii="Arial" w:eastAsia="Times New Roman" w:hAnsi="Arial" w:cs="Arial"/>
          <w:color w:val="000000"/>
          <w:sz w:val="19"/>
          <w:szCs w:val="19"/>
          <w:lang w:eastAsia="fr-FR"/>
        </w:rPr>
        <w:br/>
        <w:t>« Le cautionnement solidaire prévu aux deux premiers alinéas est facultatif lorsque le prêt souscrit par le syndicat a pour unique objectif le préfinancement de subventions publiques accordées au syndicat pour la réalisation des travaux votés. Les décisions attributives de subventions sont alors obligatoirement communiquées à l'organisme prêteur par le syndic. » ;</w:t>
      </w:r>
      <w:r w:rsidRPr="00874A27">
        <w:rPr>
          <w:rFonts w:ascii="Arial" w:eastAsia="Times New Roman" w:hAnsi="Arial" w:cs="Arial"/>
          <w:color w:val="000000"/>
          <w:sz w:val="19"/>
          <w:szCs w:val="19"/>
          <w:lang w:eastAsia="fr-FR"/>
        </w:rPr>
        <w:br/>
        <w:t>12° L'article 28 est ainsi modifié :</w:t>
      </w:r>
      <w:r w:rsidRPr="00874A27">
        <w:rPr>
          <w:rFonts w:ascii="Arial" w:eastAsia="Times New Roman" w:hAnsi="Arial" w:cs="Arial"/>
          <w:color w:val="000000"/>
          <w:sz w:val="19"/>
          <w:szCs w:val="19"/>
          <w:lang w:eastAsia="fr-FR"/>
        </w:rPr>
        <w:br/>
        <w:t>a) Après le deuxième alinéa du II, sont insérés trois alinéas ainsi rédigés :</w:t>
      </w:r>
      <w:r w:rsidRPr="00874A27">
        <w:rPr>
          <w:rFonts w:ascii="Arial" w:eastAsia="Times New Roman" w:hAnsi="Arial" w:cs="Arial"/>
          <w:color w:val="000000"/>
          <w:sz w:val="19"/>
          <w:szCs w:val="19"/>
          <w:lang w:eastAsia="fr-FR"/>
        </w:rPr>
        <w:br/>
        <w:t>« La répartition des créances et des dettes est effectuée selon les principes suivants :</w:t>
      </w:r>
      <w:r w:rsidRPr="00874A27">
        <w:rPr>
          <w:rFonts w:ascii="Arial" w:eastAsia="Times New Roman" w:hAnsi="Arial" w:cs="Arial"/>
          <w:color w:val="000000"/>
          <w:sz w:val="19"/>
          <w:szCs w:val="19"/>
          <w:lang w:eastAsia="fr-FR"/>
        </w:rPr>
        <w:br/>
        <w:t>« 1° Les créances du syndicat initial sur les copropriétaires anciens et actuels et les hypothèques du syndicat initial sur les lots des copropriétaires sont transférées de plein droit aux syndicats issus de la division auquel le lot est rattaché, en application du </w:t>
      </w:r>
      <w:hyperlink r:id="rId254" w:history="1">
        <w:r w:rsidRPr="00874A27">
          <w:rPr>
            <w:rFonts w:ascii="Arial" w:eastAsia="Times New Roman" w:hAnsi="Arial" w:cs="Arial"/>
            <w:color w:val="336699"/>
            <w:sz w:val="19"/>
            <w:szCs w:val="19"/>
            <w:u w:val="single"/>
            <w:lang w:eastAsia="fr-FR"/>
          </w:rPr>
          <w:t>3° de l'article 1251 du code civil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2° Les dettes du syndicat initial sont réparties entre les syndicats issus de la division à hauteur du montant des créances du syndicat initial sur les copropriétaires transférées aux syndicats issus de la division. » ;</w:t>
      </w:r>
      <w:r w:rsidRPr="00874A27">
        <w:rPr>
          <w:rFonts w:ascii="Arial" w:eastAsia="Times New Roman" w:hAnsi="Arial" w:cs="Arial"/>
          <w:color w:val="000000"/>
          <w:sz w:val="19"/>
          <w:szCs w:val="19"/>
          <w:lang w:eastAsia="fr-FR"/>
        </w:rPr>
        <w:br/>
        <w:t>b) Au début du troisième alinéa du II, est ajoutée la mention : « III. ― » ;</w:t>
      </w:r>
      <w:r w:rsidRPr="00874A27">
        <w:rPr>
          <w:rFonts w:ascii="Arial" w:eastAsia="Times New Roman" w:hAnsi="Arial" w:cs="Arial"/>
          <w:color w:val="000000"/>
          <w:sz w:val="19"/>
          <w:szCs w:val="19"/>
          <w:lang w:eastAsia="fr-FR"/>
        </w:rPr>
        <w:br/>
        <w:t>c) Il est ajouté un IV ainsi rédigé :</w:t>
      </w:r>
      <w:r w:rsidRPr="00874A27">
        <w:rPr>
          <w:rFonts w:ascii="Arial" w:eastAsia="Times New Roman" w:hAnsi="Arial" w:cs="Arial"/>
          <w:color w:val="000000"/>
          <w:sz w:val="19"/>
          <w:szCs w:val="19"/>
          <w:lang w:eastAsia="fr-FR"/>
        </w:rPr>
        <w:br/>
        <w:t>« IV. ― Après avis du maire de la commune de situation de l'immeuble et autorisation du représentant de l'Etat dans le département, la procédure prévue au présent article peut également être employée pour la division en volumes d'un ensemble immobilier complexe comportant soit plusieurs bâtiments distincts sur dalle, soit plusieurs entités homogènes affectées à des usages différents, pour autant que chacune de ces entités permette une gestion autonome. Si le représentant de l'Etat dans le département ne se prononce pas dans les deux mois, son avis est réputé favorable.</w:t>
      </w:r>
      <w:r w:rsidRPr="00874A27">
        <w:rPr>
          <w:rFonts w:ascii="Arial" w:eastAsia="Times New Roman" w:hAnsi="Arial" w:cs="Arial"/>
          <w:color w:val="000000"/>
          <w:sz w:val="19"/>
          <w:szCs w:val="19"/>
          <w:lang w:eastAsia="fr-FR"/>
        </w:rPr>
        <w:br/>
        <w:t>« La procédure ne peut en aucun cas être employée pour la division en volumes d'un bâtiment unique.</w:t>
      </w:r>
      <w:r w:rsidRPr="00874A27">
        <w:rPr>
          <w:rFonts w:ascii="Arial" w:eastAsia="Times New Roman" w:hAnsi="Arial" w:cs="Arial"/>
          <w:color w:val="000000"/>
          <w:sz w:val="19"/>
          <w:szCs w:val="19"/>
          <w:lang w:eastAsia="fr-FR"/>
        </w:rPr>
        <w:br/>
        <w:t>« En cas de division en volumes, la décision de constituer une union de syndicats pour la création, la gestion et l'entretien des éléments d'équipements à usage collectif est prise à la majorité mentionnée à l'article 25.</w:t>
      </w:r>
      <w:r w:rsidRPr="00874A27">
        <w:rPr>
          <w:rFonts w:ascii="Arial" w:eastAsia="Times New Roman" w:hAnsi="Arial" w:cs="Arial"/>
          <w:color w:val="000000"/>
          <w:sz w:val="19"/>
          <w:szCs w:val="19"/>
          <w:lang w:eastAsia="fr-FR"/>
        </w:rPr>
        <w:br/>
        <w:t>« Par dérogation au troisième alinéa de l'article 29, les statuts de l'union peuvent interdire à ses membres de se retirer de celle-ci.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13° Au premier alinéa de l'article 30, le mot : « double » est supprimé et la référence : « 26 » est remplacée par la référence : « 25 » ;</w:t>
      </w:r>
      <w:r w:rsidRPr="00874A27">
        <w:rPr>
          <w:rFonts w:ascii="Arial" w:eastAsia="Times New Roman" w:hAnsi="Arial" w:cs="Arial"/>
          <w:color w:val="000000"/>
          <w:sz w:val="19"/>
          <w:szCs w:val="19"/>
          <w:lang w:eastAsia="fr-FR"/>
        </w:rPr>
        <w:br/>
        <w:t>14° A la fin du dernier alinéa de l'article 42, la référence : « c de l'article 26 » est remplacée par la référence : « n de l'article 25 » ;</w:t>
      </w:r>
      <w:r w:rsidRPr="00874A27">
        <w:rPr>
          <w:rFonts w:ascii="Arial" w:eastAsia="Times New Roman" w:hAnsi="Arial" w:cs="Arial"/>
          <w:color w:val="000000"/>
          <w:sz w:val="19"/>
          <w:szCs w:val="19"/>
          <w:lang w:eastAsia="fr-FR"/>
        </w:rPr>
        <w:br/>
        <w:t>15° L'article 50 est ainsi modifié :</w:t>
      </w:r>
      <w:r w:rsidRPr="00874A27">
        <w:rPr>
          <w:rFonts w:ascii="Arial" w:eastAsia="Times New Roman" w:hAnsi="Arial" w:cs="Arial"/>
          <w:color w:val="000000"/>
          <w:sz w:val="19"/>
          <w:szCs w:val="19"/>
          <w:lang w:eastAsia="fr-FR"/>
        </w:rPr>
        <w:br/>
        <w:t>a) Le 3° est ainsi rédigé :</w:t>
      </w:r>
      <w:r w:rsidRPr="00874A27">
        <w:rPr>
          <w:rFonts w:ascii="Arial" w:eastAsia="Times New Roman" w:hAnsi="Arial" w:cs="Arial"/>
          <w:color w:val="000000"/>
          <w:sz w:val="19"/>
          <w:szCs w:val="19"/>
          <w:lang w:eastAsia="fr-FR"/>
        </w:rPr>
        <w:br/>
        <w:t>« 3° A l'article 24, le a du II est ainsi rédigé :</w:t>
      </w:r>
      <w:r w:rsidRPr="00874A27">
        <w:rPr>
          <w:rFonts w:ascii="Arial" w:eastAsia="Times New Roman" w:hAnsi="Arial" w:cs="Arial"/>
          <w:color w:val="000000"/>
          <w:sz w:val="19"/>
          <w:szCs w:val="19"/>
          <w:lang w:eastAsia="fr-FR"/>
        </w:rPr>
        <w:br/>
        <w:t>« " a) Les travaux nécessaires à la conservation de l'immeuble ainsi qu'à la préservation de la santé et de la sécurité physique des occupants, qui incluent les travaux portant sur la stabilité de l'immeuble, le clos, le couvert ou les réseaux et les travaux permettant d'assurer la mise en conformité des logements avec les normes de salubrité, de sécurité et d'équipement définies par la réglementation applicable localement ; ” » ;</w:t>
      </w:r>
      <w:r w:rsidRPr="00874A27">
        <w:rPr>
          <w:rFonts w:ascii="Arial" w:eastAsia="Times New Roman" w:hAnsi="Arial" w:cs="Arial"/>
          <w:color w:val="000000"/>
          <w:sz w:val="19"/>
          <w:szCs w:val="19"/>
          <w:lang w:eastAsia="fr-FR"/>
        </w:rPr>
        <w:br/>
        <w:t>b) Le 4° est ainsi rédigé :</w:t>
      </w:r>
      <w:r w:rsidRPr="00874A27">
        <w:rPr>
          <w:rFonts w:ascii="Arial" w:eastAsia="Times New Roman" w:hAnsi="Arial" w:cs="Arial"/>
          <w:color w:val="000000"/>
          <w:sz w:val="19"/>
          <w:szCs w:val="19"/>
          <w:lang w:eastAsia="fr-FR"/>
        </w:rPr>
        <w:br/>
        <w:t>« 4° A l'article 25, le o n'est pas applicable. »</w:t>
      </w:r>
      <w:r w:rsidRPr="00874A27">
        <w:rPr>
          <w:rFonts w:ascii="Arial" w:eastAsia="Times New Roman" w:hAnsi="Arial" w:cs="Arial"/>
          <w:color w:val="000000"/>
          <w:sz w:val="19"/>
          <w:szCs w:val="19"/>
          <w:lang w:eastAsia="fr-FR"/>
        </w:rPr>
        <w:br/>
        <w:t>II.-Aux 3° et 4° du 3 du I et au premier alinéa du VI bis de l'article 244 quater U du code général des impôts, la référence : « g » est remplacée par la référence : « f ».</w:t>
      </w:r>
      <w:r w:rsidRPr="00874A27">
        <w:rPr>
          <w:rFonts w:ascii="Arial" w:eastAsia="Times New Roman" w:hAnsi="Arial" w:cs="Arial"/>
          <w:color w:val="000000"/>
          <w:sz w:val="19"/>
          <w:szCs w:val="19"/>
          <w:lang w:eastAsia="fr-FR"/>
        </w:rPr>
        <w:br/>
        <w:t>III.-Au b de l'article 28 de la loi n° 86-18 du 6 janvier 1986 relative aux sociétés d'attribution d'immeubles en jouissance à temps partagé, la référence : « c de l'article 26 » est remplacée par la référence : « n de l'article 25 ».</w:t>
      </w:r>
      <w:r w:rsidRPr="00874A27">
        <w:rPr>
          <w:rFonts w:ascii="Arial" w:eastAsia="Times New Roman" w:hAnsi="Arial" w:cs="Arial"/>
          <w:color w:val="000000"/>
          <w:sz w:val="19"/>
          <w:szCs w:val="19"/>
          <w:lang w:eastAsia="fr-FR"/>
        </w:rPr>
        <w:br/>
        <w:t>IV.-Le I de l'article 60 de l'ordonnance n° 2004-632 du 1er juillet 2004 relative aux associations syndicales de propriétaires est complété par un alinéa ainsi rédigé :</w:t>
      </w:r>
      <w:r w:rsidRPr="00874A27">
        <w:rPr>
          <w:rFonts w:ascii="Arial" w:eastAsia="Times New Roman" w:hAnsi="Arial" w:cs="Arial"/>
          <w:color w:val="000000"/>
          <w:sz w:val="19"/>
          <w:szCs w:val="19"/>
          <w:lang w:eastAsia="fr-FR"/>
        </w:rPr>
        <w:br/>
        <w:t>« Par dérogation au deuxième alinéa, les associations syndicales libres régies par le titre II de la présente ordonnance, qui ont mis leurs statuts en conformité avec les dispositions de celle-ci postérieurement au 5 mai 2008, recouvrent les droits mentionnés à l'article 5 de la présente ordonnance dès la publication de la </w:t>
      </w:r>
      <w:hyperlink r:id="rId255" w:history="1">
        <w:r w:rsidRPr="00874A27">
          <w:rPr>
            <w:rFonts w:ascii="Arial" w:eastAsia="Times New Roman" w:hAnsi="Arial" w:cs="Arial"/>
            <w:color w:val="336699"/>
            <w:sz w:val="19"/>
            <w:szCs w:val="19"/>
            <w:u w:val="single"/>
            <w:lang w:eastAsia="fr-FR"/>
          </w:rPr>
          <w:t>loi n° 2014-366 du 24 mars 2014 </w:t>
        </w:r>
      </w:hyperlink>
      <w:r w:rsidRPr="00874A27">
        <w:rPr>
          <w:rFonts w:ascii="Arial" w:eastAsia="Times New Roman" w:hAnsi="Arial" w:cs="Arial"/>
          <w:color w:val="000000"/>
          <w:sz w:val="19"/>
          <w:szCs w:val="19"/>
          <w:lang w:eastAsia="fr-FR"/>
        </w:rPr>
        <w:t>pour l'accès au logement et un urbanisme rénové, sans toutefois que puissent être remises en cause les décisions passées en force de chose jugée.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59" w:name="JORFARTI000028773648"/>
      <w:bookmarkEnd w:id="59"/>
      <w:r w:rsidRPr="00874A27">
        <w:rPr>
          <w:rFonts w:ascii="Arial" w:eastAsia="Times New Roman" w:hAnsi="Arial" w:cs="Arial"/>
          <w:b/>
          <w:bCs/>
          <w:color w:val="000000"/>
          <w:sz w:val="23"/>
          <w:szCs w:val="23"/>
          <w:lang w:eastAsia="fr-FR"/>
        </w:rPr>
        <w:t>Article 60 </w:t>
      </w:r>
      <w:hyperlink r:id="rId256" w:tooltip="En savoir plus sur l'article 6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l'article 24-6 de la loi n° 65-557 du 10 juillet 1965 précitée, il est inséré un article 24-7 ainsi rédigé :</w:t>
      </w:r>
      <w:r w:rsidRPr="00874A27">
        <w:rPr>
          <w:rFonts w:ascii="Arial" w:eastAsia="Times New Roman" w:hAnsi="Arial" w:cs="Arial"/>
          <w:color w:val="000000"/>
          <w:sz w:val="19"/>
          <w:szCs w:val="19"/>
          <w:lang w:eastAsia="fr-FR"/>
        </w:rPr>
        <w:br/>
        <w:t>« Art. 24-7. - Sauf dans le cas où le syndicat des copropriétaires assure la maîtrise d'ouvrage des travaux portant sur les parties communes et les parties privatives de l'immeuble en application du c du II de l'article 24, le syndicat des copropriétaires peut délibérer sur la création ou l'adhésion à une association foncière urbaine prévue au </w:t>
      </w:r>
      <w:hyperlink r:id="rId257" w:history="1">
        <w:r w:rsidRPr="00874A27">
          <w:rPr>
            <w:rFonts w:ascii="Arial" w:eastAsia="Times New Roman" w:hAnsi="Arial" w:cs="Arial"/>
            <w:color w:val="336699"/>
            <w:sz w:val="19"/>
            <w:szCs w:val="19"/>
            <w:u w:val="single"/>
            <w:lang w:eastAsia="fr-FR"/>
          </w:rPr>
          <w:t>5° de l'article L. 322-2 du code de l'urbanisme</w:t>
        </w:r>
      </w:hyperlink>
      <w:r w:rsidRPr="00874A27">
        <w:rPr>
          <w:rFonts w:ascii="Arial" w:eastAsia="Times New Roman" w:hAnsi="Arial" w:cs="Arial"/>
          <w:color w:val="000000"/>
          <w:sz w:val="19"/>
          <w:szCs w:val="19"/>
          <w:lang w:eastAsia="fr-FR"/>
        </w:rPr>
        <w:t>. Dans ce cas, par dérogation à l'article 14, l'association foncière urbaine exerce les pouvoirs du syndicat des copropriétaires portant sur les travaux de restauration immobilière relatifs aux parties communes de l'immeuble jusqu'à leur réception définitive.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60" w:name="JORFARTI000028773652"/>
      <w:bookmarkEnd w:id="60"/>
      <w:r w:rsidRPr="00874A27">
        <w:rPr>
          <w:rFonts w:ascii="Arial" w:eastAsia="Times New Roman" w:hAnsi="Arial" w:cs="Arial"/>
          <w:b/>
          <w:bCs/>
          <w:color w:val="000000"/>
          <w:sz w:val="23"/>
          <w:szCs w:val="23"/>
          <w:lang w:eastAsia="fr-FR"/>
        </w:rPr>
        <w:t>Article 61 </w:t>
      </w:r>
      <w:hyperlink r:id="rId258" w:tooltip="En savoir plus sur l'article 6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35 de la loi n° 65-557 du 10 juillet 1965 précitée est ainsi modifié :</w:t>
      </w:r>
      <w:r w:rsidRPr="00874A27">
        <w:rPr>
          <w:rFonts w:ascii="Arial" w:eastAsia="Times New Roman" w:hAnsi="Arial" w:cs="Arial"/>
          <w:color w:val="000000"/>
          <w:sz w:val="19"/>
          <w:szCs w:val="19"/>
          <w:lang w:eastAsia="fr-FR"/>
        </w:rPr>
        <w:br/>
        <w:t>1° Au premier alinéa, les mots : « à l'unanimité de ses membres » sont remplacés par les mots : « à la majorité prévue à l'article 26 » ;</w:t>
      </w:r>
      <w:r w:rsidRPr="00874A27">
        <w:rPr>
          <w:rFonts w:ascii="Arial" w:eastAsia="Times New Roman" w:hAnsi="Arial" w:cs="Arial"/>
          <w:color w:val="000000"/>
          <w:sz w:val="19"/>
          <w:szCs w:val="19"/>
          <w:lang w:eastAsia="fr-FR"/>
        </w:rPr>
        <w:br/>
        <w:t>2° Au deuxième alinéa, le mot : «, outre » et les mots : «, l'accord des copropriétaires de l'étage supérieur du bâtiment à surélever, » sont supprimés ;</w:t>
      </w:r>
      <w:r w:rsidRPr="00874A27">
        <w:rPr>
          <w:rFonts w:ascii="Arial" w:eastAsia="Times New Roman" w:hAnsi="Arial" w:cs="Arial"/>
          <w:color w:val="000000"/>
          <w:sz w:val="19"/>
          <w:szCs w:val="19"/>
          <w:lang w:eastAsia="fr-FR"/>
        </w:rPr>
        <w:br/>
        <w:t>3° A la seconde phrase du troisième alinéa, les mots : « l'accord unanime des copropriétaires de l'étage supérieur du bâtiment à surélever et » sont supprimés ;</w:t>
      </w:r>
      <w:r w:rsidRPr="00874A27">
        <w:rPr>
          <w:rFonts w:ascii="Arial" w:eastAsia="Times New Roman" w:hAnsi="Arial" w:cs="Arial"/>
          <w:color w:val="000000"/>
          <w:sz w:val="19"/>
          <w:szCs w:val="19"/>
          <w:lang w:eastAsia="fr-FR"/>
        </w:rPr>
        <w:br/>
        <w:t>4° Le dernier alinéa est remplacé par deux alinéas ainsi rédigés :</w:t>
      </w:r>
      <w:r w:rsidRPr="00874A27">
        <w:rPr>
          <w:rFonts w:ascii="Arial" w:eastAsia="Times New Roman" w:hAnsi="Arial" w:cs="Arial"/>
          <w:color w:val="000000"/>
          <w:sz w:val="19"/>
          <w:szCs w:val="19"/>
          <w:lang w:eastAsia="fr-FR"/>
        </w:rPr>
        <w:br/>
        <w:t>« Les copropriétaires de l'étage supérieur du bâtiment surélevé bénéficient d'un droit de priorité à l'occasion de la vente par le syndicat des locaux privatifs créés. Préalablement à la conclusion de toute vente d'un ou plusieurs lots, le syndic notifie à chaque copropriétaire de l'étage supérieur du bâtiment surélevé l'intention du syndicat de vendre, en indiquant le prix et les conditions de la vente. Cette notification vaut offre de vente pendant une durée de deux mois à compter de sa notification.</w:t>
      </w:r>
      <w:r w:rsidRPr="00874A27">
        <w:rPr>
          <w:rFonts w:ascii="Arial" w:eastAsia="Times New Roman" w:hAnsi="Arial" w:cs="Arial"/>
          <w:color w:val="000000"/>
          <w:sz w:val="19"/>
          <w:szCs w:val="19"/>
          <w:lang w:eastAsia="fr-FR"/>
        </w:rPr>
        <w:br/>
        <w:t>« Les copropriétaires de l'étage supérieur du bâtiment à surélever bénéficient du même droit de priorité à l'occasion de la cession par le syndicat de son droit de surélévation. Ce droit de priorité s'exerce dans les mêmes conditions que celles prévues au quatrième alinéa.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61" w:name="JORFARTI000028773659"/>
      <w:bookmarkEnd w:id="61"/>
      <w:r w:rsidRPr="00874A27">
        <w:rPr>
          <w:rFonts w:ascii="Arial" w:eastAsia="Times New Roman" w:hAnsi="Arial" w:cs="Arial"/>
          <w:b/>
          <w:bCs/>
          <w:color w:val="000000"/>
          <w:sz w:val="23"/>
          <w:szCs w:val="23"/>
          <w:lang w:eastAsia="fr-FR"/>
        </w:rPr>
        <w:t>Article 62 </w:t>
      </w:r>
      <w:hyperlink r:id="rId259" w:tooltip="En savoir plus sur l'article 6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L'article L. 321-5 du code de la construction et de l'habitation est complété par une phrase ainsi rédigée :</w:t>
      </w:r>
      <w:r w:rsidRPr="00874A27">
        <w:rPr>
          <w:rFonts w:ascii="Arial" w:eastAsia="Times New Roman" w:hAnsi="Arial" w:cs="Arial"/>
          <w:color w:val="000000"/>
          <w:sz w:val="19"/>
          <w:szCs w:val="19"/>
          <w:lang w:eastAsia="fr-FR"/>
        </w:rPr>
        <w:br/>
        <w:t>« Concernant les logements loués dans un bail à ferme, les rapports entre le bailleur et les locataires du logement pendant la durée de la convention sont régis par le titre Ier du livre IV du code rural et de la pêche maritime et par le présent chapitre, dans la mesure où il déroge à la législation en vigueur. »</w:t>
      </w:r>
    </w:p>
    <w:p w:rsidR="00874A27" w:rsidRPr="00874A27" w:rsidRDefault="00874A27" w:rsidP="00874A27">
      <w:pPr>
        <w:numPr>
          <w:ilvl w:val="1"/>
          <w:numId w:val="2"/>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II : Redresser efficacement les copropriétés dégradées</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1 : Améliorer la procédure du mandataire ad hoc</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62" w:name="JORFARTI000028773663"/>
      <w:bookmarkEnd w:id="62"/>
      <w:r w:rsidRPr="00874A27">
        <w:rPr>
          <w:rFonts w:ascii="Arial" w:eastAsia="Times New Roman" w:hAnsi="Arial" w:cs="Arial"/>
          <w:b/>
          <w:bCs/>
          <w:color w:val="000000"/>
          <w:sz w:val="23"/>
          <w:szCs w:val="23"/>
          <w:lang w:eastAsia="fr-FR"/>
        </w:rPr>
        <w:t>Article 63 </w:t>
      </w:r>
      <w:hyperlink r:id="rId260" w:tooltip="En savoir plus sur l'article 6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loi n° 65-557 du 10 juillet 1965 précitée est ainsi modifiée :</w:t>
      </w:r>
      <w:r w:rsidRPr="00874A27">
        <w:rPr>
          <w:rFonts w:ascii="Arial" w:eastAsia="Times New Roman" w:hAnsi="Arial" w:cs="Arial"/>
          <w:color w:val="000000"/>
          <w:sz w:val="19"/>
          <w:szCs w:val="19"/>
          <w:lang w:eastAsia="fr-FR"/>
        </w:rPr>
        <w:br/>
        <w:t>1° L'article 29-1 A est ainsi modifié :</w:t>
      </w:r>
      <w:r w:rsidRPr="00874A27">
        <w:rPr>
          <w:rFonts w:ascii="Arial" w:eastAsia="Times New Roman" w:hAnsi="Arial" w:cs="Arial"/>
          <w:color w:val="000000"/>
          <w:sz w:val="19"/>
          <w:szCs w:val="19"/>
          <w:lang w:eastAsia="fr-FR"/>
        </w:rPr>
        <w:br/>
        <w:t>a) Au premier alinéa, les mots : « président du tribunal de grande instance » sont remplacés par le mot : « juge » ;</w:t>
      </w:r>
      <w:r w:rsidRPr="00874A27">
        <w:rPr>
          <w:rFonts w:ascii="Arial" w:eastAsia="Times New Roman" w:hAnsi="Arial" w:cs="Arial"/>
          <w:color w:val="000000"/>
          <w:sz w:val="19"/>
          <w:szCs w:val="19"/>
          <w:lang w:eastAsia="fr-FR"/>
        </w:rPr>
        <w:br/>
        <w:t>b) Le même alinéa est complété par une phrase ainsi rédigée :</w:t>
      </w:r>
      <w:r w:rsidRPr="00874A27">
        <w:rPr>
          <w:rFonts w:ascii="Arial" w:eastAsia="Times New Roman" w:hAnsi="Arial" w:cs="Arial"/>
          <w:color w:val="000000"/>
          <w:sz w:val="19"/>
          <w:szCs w:val="19"/>
          <w:lang w:eastAsia="fr-FR"/>
        </w:rPr>
        <w:br/>
        <w:t>« Pour les copropriétés de plus de deux cents lots, le pourcentage des impayés déclenchant la saisine est fixé à 15 %. » ;</w:t>
      </w:r>
      <w:r w:rsidRPr="00874A27">
        <w:rPr>
          <w:rFonts w:ascii="Arial" w:eastAsia="Times New Roman" w:hAnsi="Arial" w:cs="Arial"/>
          <w:color w:val="000000"/>
          <w:sz w:val="19"/>
          <w:szCs w:val="19"/>
          <w:lang w:eastAsia="fr-FR"/>
        </w:rPr>
        <w:br/>
        <w:t>c) Le deuxième alinéa est remplacé six alinéas ainsi rédigés :</w:t>
      </w:r>
      <w:r w:rsidRPr="00874A27">
        <w:rPr>
          <w:rFonts w:ascii="Arial" w:eastAsia="Times New Roman" w:hAnsi="Arial" w:cs="Arial"/>
          <w:color w:val="000000"/>
          <w:sz w:val="19"/>
          <w:szCs w:val="19"/>
          <w:lang w:eastAsia="fr-FR"/>
        </w:rPr>
        <w:br/>
        <w:t>« En l'absence d'action du syndic dans un délai d'un mois à compter de la clôture des comptes, le juge peut être saisi d'une même demande par :</w:t>
      </w:r>
      <w:r w:rsidRPr="00874A27">
        <w:rPr>
          <w:rFonts w:ascii="Arial" w:eastAsia="Times New Roman" w:hAnsi="Arial" w:cs="Arial"/>
          <w:color w:val="000000"/>
          <w:sz w:val="19"/>
          <w:szCs w:val="19"/>
          <w:lang w:eastAsia="fr-FR"/>
        </w:rPr>
        <w:br/>
        <w:t>« 1° Des copropriétaires représentant ensemble au moins 15 % des voix du syndicat ;</w:t>
      </w:r>
      <w:r w:rsidRPr="00874A27">
        <w:rPr>
          <w:rFonts w:ascii="Arial" w:eastAsia="Times New Roman" w:hAnsi="Arial" w:cs="Arial"/>
          <w:color w:val="000000"/>
          <w:sz w:val="19"/>
          <w:szCs w:val="19"/>
          <w:lang w:eastAsia="fr-FR"/>
        </w:rPr>
        <w:br/>
        <w:t>« 2° Un créancier lorsque les factures d'abonnement et de fourniture d'eau ou d'énergie ou les factures de travaux, votés par l'assemblée générale et exécutés, restent impayées depuis six mois et si le créancier a adressé au syndic un commandement de payer resté infructueux ;</w:t>
      </w:r>
      <w:r w:rsidRPr="00874A27">
        <w:rPr>
          <w:rFonts w:ascii="Arial" w:eastAsia="Times New Roman" w:hAnsi="Arial" w:cs="Arial"/>
          <w:color w:val="000000"/>
          <w:sz w:val="19"/>
          <w:szCs w:val="19"/>
          <w:lang w:eastAsia="fr-FR"/>
        </w:rPr>
        <w:br/>
        <w:t>« 3° Le représentant de l'Etat dans le département ou le procureur de la République près le tribunal de grande instance ;</w:t>
      </w:r>
      <w:r w:rsidRPr="00874A27">
        <w:rPr>
          <w:rFonts w:ascii="Arial" w:eastAsia="Times New Roman" w:hAnsi="Arial" w:cs="Arial"/>
          <w:color w:val="000000"/>
          <w:sz w:val="19"/>
          <w:szCs w:val="19"/>
          <w:lang w:eastAsia="fr-FR"/>
        </w:rPr>
        <w:br/>
        <w:t>« 4° Le maire de la commune du lieu de situation de l'immeuble ;</w:t>
      </w:r>
      <w:r w:rsidRPr="00874A27">
        <w:rPr>
          <w:rFonts w:ascii="Arial" w:eastAsia="Times New Roman" w:hAnsi="Arial" w:cs="Arial"/>
          <w:color w:val="000000"/>
          <w:sz w:val="19"/>
          <w:szCs w:val="19"/>
          <w:lang w:eastAsia="fr-FR"/>
        </w:rPr>
        <w:br/>
        <w:t>« 5° Le président de l'organe délibérant de l'établissement public de coopération intercommunale compétent en matière d'habitat du lieu de situation de l'immeuble. » ;</w:t>
      </w:r>
      <w:r w:rsidRPr="00874A27">
        <w:rPr>
          <w:rFonts w:ascii="Arial" w:eastAsia="Times New Roman" w:hAnsi="Arial" w:cs="Arial"/>
          <w:color w:val="000000"/>
          <w:sz w:val="19"/>
          <w:szCs w:val="19"/>
          <w:lang w:eastAsia="fr-FR"/>
        </w:rPr>
        <w:br/>
        <w:t>d) Le troisième alinéa est supprimé ;</w:t>
      </w:r>
      <w:r w:rsidRPr="00874A27">
        <w:rPr>
          <w:rFonts w:ascii="Arial" w:eastAsia="Times New Roman" w:hAnsi="Arial" w:cs="Arial"/>
          <w:color w:val="000000"/>
          <w:sz w:val="19"/>
          <w:szCs w:val="19"/>
          <w:lang w:eastAsia="fr-FR"/>
        </w:rPr>
        <w:br/>
        <w:t>e) Au dernier alinéa, les mots : « visés aux trois alinéas précédents » sont remplacés par les références : « mentionnés aux 1° et 2° » et les mots : «, le cas échéant, » sont supprimés ;</w:t>
      </w:r>
      <w:r w:rsidRPr="00874A27">
        <w:rPr>
          <w:rFonts w:ascii="Arial" w:eastAsia="Times New Roman" w:hAnsi="Arial" w:cs="Arial"/>
          <w:color w:val="000000"/>
          <w:sz w:val="19"/>
          <w:szCs w:val="19"/>
          <w:lang w:eastAsia="fr-FR"/>
        </w:rPr>
        <w:br/>
        <w:t>2° L'article 29-1 B est ainsi modifié :</w:t>
      </w:r>
      <w:r w:rsidRPr="00874A27">
        <w:rPr>
          <w:rFonts w:ascii="Arial" w:eastAsia="Times New Roman" w:hAnsi="Arial" w:cs="Arial"/>
          <w:color w:val="000000"/>
          <w:sz w:val="19"/>
          <w:szCs w:val="19"/>
          <w:lang w:eastAsia="fr-FR"/>
        </w:rPr>
        <w:br/>
        <w:t>a) Aux premier et troisième alinéas, deux fois, les mots : « président du tribunal de grande instance » sont remplacés par le mot : « juge » ;</w:t>
      </w:r>
      <w:r w:rsidRPr="00874A27">
        <w:rPr>
          <w:rFonts w:ascii="Arial" w:eastAsia="Times New Roman" w:hAnsi="Arial" w:cs="Arial"/>
          <w:color w:val="000000"/>
          <w:sz w:val="19"/>
          <w:szCs w:val="19"/>
          <w:lang w:eastAsia="fr-FR"/>
        </w:rPr>
        <w:br/>
        <w:t>b) Le premier alinéa est complété par les mots et une phrase ainsi rédigée : « et la rémunération. Les modalités d'intervention des mandataires ad hoc sont fixées par décret. » ;</w:t>
      </w:r>
      <w:r w:rsidRPr="00874A27">
        <w:rPr>
          <w:rFonts w:ascii="Arial" w:eastAsia="Times New Roman" w:hAnsi="Arial" w:cs="Arial"/>
          <w:color w:val="000000"/>
          <w:sz w:val="19"/>
          <w:szCs w:val="19"/>
          <w:lang w:eastAsia="fr-FR"/>
        </w:rPr>
        <w:br/>
        <w:t>c) Le deuxième alinéa est ainsi rédigé :</w:t>
      </w:r>
      <w:r w:rsidRPr="00874A27">
        <w:rPr>
          <w:rFonts w:ascii="Arial" w:eastAsia="Times New Roman" w:hAnsi="Arial" w:cs="Arial"/>
          <w:color w:val="000000"/>
          <w:sz w:val="19"/>
          <w:szCs w:val="19"/>
          <w:lang w:eastAsia="fr-FR"/>
        </w:rPr>
        <w:br/>
        <w:t>« Le juge précise et motive spécialement dans son ordonnance l'imputation des frais entre le syndicat des copropriétaires et les autres parties à la procédure, ou le partage des frais entre eux. » ;</w:t>
      </w:r>
      <w:r w:rsidRPr="00874A27">
        <w:rPr>
          <w:rFonts w:ascii="Arial" w:eastAsia="Times New Roman" w:hAnsi="Arial" w:cs="Arial"/>
          <w:color w:val="000000"/>
          <w:sz w:val="19"/>
          <w:szCs w:val="19"/>
          <w:lang w:eastAsia="fr-FR"/>
        </w:rPr>
        <w:br/>
        <w:t>d) Le troisième alinéa est complété par une phrase ainsi rédigée :</w:t>
      </w:r>
      <w:r w:rsidRPr="00874A27">
        <w:rPr>
          <w:rFonts w:ascii="Arial" w:eastAsia="Times New Roman" w:hAnsi="Arial" w:cs="Arial"/>
          <w:color w:val="000000"/>
          <w:sz w:val="19"/>
          <w:szCs w:val="19"/>
          <w:lang w:eastAsia="fr-FR"/>
        </w:rPr>
        <w:br/>
        <w:t>« Lorsqu'il constate d'importantes difficultés financières ou de gestion, il saisit le juge aux fins de désignation d'un administrateur provisoire en application de l'article 29-1. » ;</w:t>
      </w:r>
      <w:r w:rsidRPr="00874A27">
        <w:rPr>
          <w:rFonts w:ascii="Arial" w:eastAsia="Times New Roman" w:hAnsi="Arial" w:cs="Arial"/>
          <w:color w:val="000000"/>
          <w:sz w:val="19"/>
          <w:szCs w:val="19"/>
          <w:lang w:eastAsia="fr-FR"/>
        </w:rPr>
        <w:br/>
        <w:t>e) Après le troisième alinéa, il est inséré un alinéa ainsi rédigé :</w:t>
      </w:r>
      <w:r w:rsidRPr="00874A27">
        <w:rPr>
          <w:rFonts w:ascii="Arial" w:eastAsia="Times New Roman" w:hAnsi="Arial" w:cs="Arial"/>
          <w:color w:val="000000"/>
          <w:sz w:val="19"/>
          <w:szCs w:val="19"/>
          <w:lang w:eastAsia="fr-FR"/>
        </w:rPr>
        <w:br/>
        <w:t>« Le syndic est tenu de fournir au mandataire ad hoc tous les documents nécessaires à l'accomplissement de sa mission dans un délai de quinze jours à compter de la notification de l'ordonnance du juge au syndic. Le mandataire ad hoc peut saisir le juge des difficultés dans l'exercice de sa mission. Pour l'accomplissement de sa mission, le mandataire ad hoc peut obtenir de l'autorité publique compétente les pièces relatives aux procédures de police engagées à l'encontre du syndicat. » ;</w:t>
      </w:r>
      <w:r w:rsidRPr="00874A27">
        <w:rPr>
          <w:rFonts w:ascii="Arial" w:eastAsia="Times New Roman" w:hAnsi="Arial" w:cs="Arial"/>
          <w:color w:val="000000"/>
          <w:sz w:val="19"/>
          <w:szCs w:val="19"/>
          <w:lang w:eastAsia="fr-FR"/>
        </w:rPr>
        <w:br/>
        <w:t>f) A l'avant-dernier alinéa, les mots : « le cas échéant » sont supprimés ;</w:t>
      </w:r>
      <w:r w:rsidRPr="00874A27">
        <w:rPr>
          <w:rFonts w:ascii="Arial" w:eastAsia="Times New Roman" w:hAnsi="Arial" w:cs="Arial"/>
          <w:color w:val="000000"/>
          <w:sz w:val="19"/>
          <w:szCs w:val="19"/>
          <w:lang w:eastAsia="fr-FR"/>
        </w:rPr>
        <w:br/>
        <w:t>g) Le dernier alinéa est complété par deux phrases ainsi rédigées :</w:t>
      </w:r>
      <w:r w:rsidRPr="00874A27">
        <w:rPr>
          <w:rFonts w:ascii="Arial" w:eastAsia="Times New Roman" w:hAnsi="Arial" w:cs="Arial"/>
          <w:color w:val="000000"/>
          <w:sz w:val="19"/>
          <w:szCs w:val="19"/>
          <w:lang w:eastAsia="fr-FR"/>
        </w:rPr>
        <w:br/>
        <w:t>« Si la prochaine assemblée générale n'intervient pas dans les six mois à compter de la remise du rapport, le syndic convoque une assemblée générale spécialement à cet effet. Si le rapport du mandataire ad hoc préconise des mesures d'urgence, ce délai est ramené à trois mois. » ;</w:t>
      </w:r>
      <w:r w:rsidRPr="00874A27">
        <w:rPr>
          <w:rFonts w:ascii="Arial" w:eastAsia="Times New Roman" w:hAnsi="Arial" w:cs="Arial"/>
          <w:color w:val="000000"/>
          <w:sz w:val="19"/>
          <w:szCs w:val="19"/>
          <w:lang w:eastAsia="fr-FR"/>
        </w:rPr>
        <w:br/>
        <w:t>h) Sont ajoutés trois alinéas ainsi rédigés :</w:t>
      </w:r>
      <w:r w:rsidRPr="00874A27">
        <w:rPr>
          <w:rFonts w:ascii="Arial" w:eastAsia="Times New Roman" w:hAnsi="Arial" w:cs="Arial"/>
          <w:color w:val="000000"/>
          <w:sz w:val="19"/>
          <w:szCs w:val="19"/>
          <w:lang w:eastAsia="fr-FR"/>
        </w:rPr>
        <w:br/>
        <w:t xml:space="preserve">« Le procès-verbal de l'assemblée générale statuant sur les résolutions mettant en œuvre le rapport </w:t>
      </w:r>
      <w:r w:rsidRPr="00874A27">
        <w:rPr>
          <w:rFonts w:ascii="Arial" w:eastAsia="Times New Roman" w:hAnsi="Arial" w:cs="Arial"/>
          <w:color w:val="000000"/>
          <w:sz w:val="19"/>
          <w:szCs w:val="19"/>
          <w:lang w:eastAsia="fr-FR"/>
        </w:rPr>
        <w:lastRenderedPageBreak/>
        <w:t>du mandataire est notifié par le syndic aux auteurs de la saisine, au juge et au mandataire ad hoc. En l'absence de notification dans le délai de six mois prévu au sixième alinéa, le mandataire ad hoc ou les parties à l'origine de la procédure peuvent saisir le juge aux fins :</w:t>
      </w:r>
      <w:r w:rsidRPr="00874A27">
        <w:rPr>
          <w:rFonts w:ascii="Arial" w:eastAsia="Times New Roman" w:hAnsi="Arial" w:cs="Arial"/>
          <w:color w:val="000000"/>
          <w:sz w:val="19"/>
          <w:szCs w:val="19"/>
          <w:lang w:eastAsia="fr-FR"/>
        </w:rPr>
        <w:br/>
        <w:t>« 1° D'obtenir une ordonnance enjoignant au syndic de convoquer sans délai l'assemblée générale ;</w:t>
      </w:r>
      <w:r w:rsidRPr="00874A27">
        <w:rPr>
          <w:rFonts w:ascii="Arial" w:eastAsia="Times New Roman" w:hAnsi="Arial" w:cs="Arial"/>
          <w:color w:val="000000"/>
          <w:sz w:val="19"/>
          <w:szCs w:val="19"/>
          <w:lang w:eastAsia="fr-FR"/>
        </w:rPr>
        <w:br/>
        <w:t>« 2° De désignation d'un administrateur provisoire, si les auteurs de la saisine sont habilités à le faire par l'article 29-1. » ;</w:t>
      </w:r>
      <w:r w:rsidRPr="00874A27">
        <w:rPr>
          <w:rFonts w:ascii="Arial" w:eastAsia="Times New Roman" w:hAnsi="Arial" w:cs="Arial"/>
          <w:color w:val="000000"/>
          <w:sz w:val="19"/>
          <w:szCs w:val="19"/>
          <w:lang w:eastAsia="fr-FR"/>
        </w:rPr>
        <w:br/>
        <w:t>3° Après l'article 29-1 B, il est inséré un article 29-1 C ainsi rédigé :</w:t>
      </w:r>
      <w:r w:rsidRPr="00874A27">
        <w:rPr>
          <w:rFonts w:ascii="Arial" w:eastAsia="Times New Roman" w:hAnsi="Arial" w:cs="Arial"/>
          <w:color w:val="000000"/>
          <w:sz w:val="19"/>
          <w:szCs w:val="19"/>
          <w:lang w:eastAsia="fr-FR"/>
        </w:rPr>
        <w:br/>
        <w:t>« Art. 29-1 C.-I. ― Pour exercer les fonctions de mandataire ad hoc prévues à l'article 29-1 A, le juge peut désigner un administrateur judiciaire inscrit sur la liste des administrateurs judiciaires mentionnée à l'</w:t>
      </w:r>
      <w:hyperlink r:id="rId261" w:history="1">
        <w:r w:rsidRPr="00874A27">
          <w:rPr>
            <w:rFonts w:ascii="Arial" w:eastAsia="Times New Roman" w:hAnsi="Arial" w:cs="Arial"/>
            <w:color w:val="336699"/>
            <w:sz w:val="19"/>
            <w:szCs w:val="19"/>
            <w:u w:val="single"/>
            <w:lang w:eastAsia="fr-FR"/>
          </w:rPr>
          <w:t>article L. 811-2 du code de commerce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II. ― Toutefois, à titre exceptionnel, le juge peut également désigner, par décision spécialement motivée, une personne physique ou morale justifiant d'une expérience ou d'une qualification particulière au regard de la nature de l'affaire et remplissant des conditions définies par décret.</w:t>
      </w:r>
      <w:r w:rsidRPr="00874A27">
        <w:rPr>
          <w:rFonts w:ascii="Arial" w:eastAsia="Times New Roman" w:hAnsi="Arial" w:cs="Arial"/>
          <w:color w:val="000000"/>
          <w:sz w:val="19"/>
          <w:szCs w:val="19"/>
          <w:lang w:eastAsia="fr-FR"/>
        </w:rPr>
        <w:br/>
        <w:t>« III. ― Les mandataires ad hoc désignés en application du II du présent article ne doivent pas, au cours des cinq années précédentes :</w:t>
      </w:r>
      <w:r w:rsidRPr="00874A27">
        <w:rPr>
          <w:rFonts w:ascii="Arial" w:eastAsia="Times New Roman" w:hAnsi="Arial" w:cs="Arial"/>
          <w:color w:val="000000"/>
          <w:sz w:val="19"/>
          <w:szCs w:val="19"/>
          <w:lang w:eastAsia="fr-FR"/>
        </w:rPr>
        <w:br/>
        <w:t>« 1° Avoir perçu à quelque titre que ce soit, directement ou indirectement, une rétribution ou un paiement de la part du syndic, du syndicat des copropriétaires ou des créanciers à l'origine de la procédure, ni d'une personne qui détient le contrôle du syndic ou d'un de ses créanciers, au sens des </w:t>
      </w:r>
      <w:hyperlink r:id="rId262" w:history="1">
        <w:r w:rsidRPr="00874A27">
          <w:rPr>
            <w:rFonts w:ascii="Arial" w:eastAsia="Times New Roman" w:hAnsi="Arial" w:cs="Arial"/>
            <w:color w:val="336699"/>
            <w:sz w:val="19"/>
            <w:szCs w:val="19"/>
            <w:u w:val="single"/>
            <w:lang w:eastAsia="fr-FR"/>
          </w:rPr>
          <w:t>II et III de l'article L. 233-16 du code de commerce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2° S'être trouvés en situation de conseil du syndic, du syndicat des copropriétaires ou des créanciers concernés ou de subordination par rapport à eux ;</w:t>
      </w:r>
      <w:r w:rsidRPr="00874A27">
        <w:rPr>
          <w:rFonts w:ascii="Arial" w:eastAsia="Times New Roman" w:hAnsi="Arial" w:cs="Arial"/>
          <w:color w:val="000000"/>
          <w:sz w:val="19"/>
          <w:szCs w:val="19"/>
          <w:lang w:eastAsia="fr-FR"/>
        </w:rPr>
        <w:br/>
        <w:t>« 3° Avoir un intérêt dans le mandat qui leur est donné ;</w:t>
      </w:r>
      <w:r w:rsidRPr="00874A27">
        <w:rPr>
          <w:rFonts w:ascii="Arial" w:eastAsia="Times New Roman" w:hAnsi="Arial" w:cs="Arial"/>
          <w:color w:val="000000"/>
          <w:sz w:val="19"/>
          <w:szCs w:val="19"/>
          <w:lang w:eastAsia="fr-FR"/>
        </w:rPr>
        <w:br/>
        <w:t>« 4° Etre au nombre des anciens administrateurs ou mandataires judiciaires ayant fait l'objet d'une décision de radiation ou de retrait des listes, en application des articles </w:t>
      </w:r>
      <w:hyperlink r:id="rId263" w:history="1">
        <w:r w:rsidRPr="00874A27">
          <w:rPr>
            <w:rFonts w:ascii="Arial" w:eastAsia="Times New Roman" w:hAnsi="Arial" w:cs="Arial"/>
            <w:color w:val="336699"/>
            <w:sz w:val="19"/>
            <w:szCs w:val="19"/>
            <w:u w:val="single"/>
            <w:lang w:eastAsia="fr-FR"/>
          </w:rPr>
          <w:t>L. 811-6</w:t>
        </w:r>
      </w:hyperlink>
      <w:r w:rsidRPr="00874A27">
        <w:rPr>
          <w:rFonts w:ascii="Arial" w:eastAsia="Times New Roman" w:hAnsi="Arial" w:cs="Arial"/>
          <w:color w:val="000000"/>
          <w:sz w:val="19"/>
          <w:szCs w:val="19"/>
          <w:lang w:eastAsia="fr-FR"/>
        </w:rPr>
        <w:t>, </w:t>
      </w:r>
      <w:hyperlink r:id="rId264" w:history="1">
        <w:r w:rsidRPr="00874A27">
          <w:rPr>
            <w:rFonts w:ascii="Arial" w:eastAsia="Times New Roman" w:hAnsi="Arial" w:cs="Arial"/>
            <w:color w:val="336699"/>
            <w:sz w:val="19"/>
            <w:szCs w:val="19"/>
            <w:u w:val="single"/>
            <w:lang w:eastAsia="fr-FR"/>
          </w:rPr>
          <w:t>L. 811-12 </w:t>
        </w:r>
      </w:hyperlink>
      <w:r w:rsidRPr="00874A27">
        <w:rPr>
          <w:rFonts w:ascii="Arial" w:eastAsia="Times New Roman" w:hAnsi="Arial" w:cs="Arial"/>
          <w:color w:val="000000"/>
          <w:sz w:val="19"/>
          <w:szCs w:val="19"/>
          <w:lang w:eastAsia="fr-FR"/>
        </w:rPr>
        <w:t>et </w:t>
      </w:r>
      <w:hyperlink r:id="rId265" w:history="1">
        <w:r w:rsidRPr="00874A27">
          <w:rPr>
            <w:rFonts w:ascii="Arial" w:eastAsia="Times New Roman" w:hAnsi="Arial" w:cs="Arial"/>
            <w:color w:val="336699"/>
            <w:sz w:val="19"/>
            <w:szCs w:val="19"/>
            <w:u w:val="single"/>
            <w:lang w:eastAsia="fr-FR"/>
          </w:rPr>
          <w:t>L. 812-4 </w:t>
        </w:r>
      </w:hyperlink>
      <w:r w:rsidRPr="00874A27">
        <w:rPr>
          <w:rFonts w:ascii="Arial" w:eastAsia="Times New Roman" w:hAnsi="Arial" w:cs="Arial"/>
          <w:color w:val="000000"/>
          <w:sz w:val="19"/>
          <w:szCs w:val="19"/>
          <w:lang w:eastAsia="fr-FR"/>
        </w:rPr>
        <w:t>du code de commerce.</w:t>
      </w:r>
      <w:r w:rsidRPr="00874A27">
        <w:rPr>
          <w:rFonts w:ascii="Arial" w:eastAsia="Times New Roman" w:hAnsi="Arial" w:cs="Arial"/>
          <w:color w:val="000000"/>
          <w:sz w:val="19"/>
          <w:szCs w:val="19"/>
          <w:lang w:eastAsia="fr-FR"/>
        </w:rPr>
        <w:br/>
        <w:t>« IV. ― Les mandataires ad hoc ne peuvent être désignés syndic à l'issue de leur mission. »</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2 : Réformer la procédure d'administration provisoire et mettre en place de nouveaux outils à disposition de l'administrateur provisoire</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63" w:name="JORFARTI000028773686"/>
      <w:bookmarkEnd w:id="63"/>
      <w:r w:rsidRPr="00874A27">
        <w:rPr>
          <w:rFonts w:ascii="Arial" w:eastAsia="Times New Roman" w:hAnsi="Arial" w:cs="Arial"/>
          <w:b/>
          <w:bCs/>
          <w:color w:val="000000"/>
          <w:sz w:val="23"/>
          <w:szCs w:val="23"/>
          <w:lang w:eastAsia="fr-FR"/>
        </w:rPr>
        <w:t>Article 64 </w:t>
      </w:r>
      <w:hyperlink r:id="rId266" w:tooltip="En savoir plus sur l'article 6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 loi n° 65-557 du 10 juillet 1965 précitée est ainsi modifiée :</w:t>
      </w:r>
      <w:r w:rsidRPr="00874A27">
        <w:rPr>
          <w:rFonts w:ascii="Arial" w:eastAsia="Times New Roman" w:hAnsi="Arial" w:cs="Arial"/>
          <w:color w:val="000000"/>
          <w:sz w:val="19"/>
          <w:szCs w:val="19"/>
          <w:lang w:eastAsia="fr-FR"/>
        </w:rPr>
        <w:br/>
        <w:t>1° L'article 29-1 est ainsi modifié :</w:t>
      </w:r>
      <w:r w:rsidRPr="00874A27">
        <w:rPr>
          <w:rFonts w:ascii="Arial" w:eastAsia="Times New Roman" w:hAnsi="Arial" w:cs="Arial"/>
          <w:color w:val="000000"/>
          <w:sz w:val="19"/>
          <w:szCs w:val="19"/>
          <w:lang w:eastAsia="fr-FR"/>
        </w:rPr>
        <w:br/>
        <w:t>a) Aux première et seconde phrases du premier alinéa, aux première et avant-dernière phrases du deuxième alinéa et à la dernière phrase du dernier alinéa, les mots : « président du tribunal de grande instance » sont remplacés par le mot : « juge » ;</w:t>
      </w:r>
      <w:r w:rsidRPr="00874A27">
        <w:rPr>
          <w:rFonts w:ascii="Arial" w:eastAsia="Times New Roman" w:hAnsi="Arial" w:cs="Arial"/>
          <w:color w:val="000000"/>
          <w:sz w:val="19"/>
          <w:szCs w:val="19"/>
          <w:lang w:eastAsia="fr-FR"/>
        </w:rPr>
        <w:br/>
        <w:t>b) Au début du premier alinéa, est ajoutée la mention : « I. ― » ;</w:t>
      </w:r>
      <w:r w:rsidRPr="00874A27">
        <w:rPr>
          <w:rFonts w:ascii="Arial" w:eastAsia="Times New Roman" w:hAnsi="Arial" w:cs="Arial"/>
          <w:color w:val="000000"/>
          <w:sz w:val="19"/>
          <w:szCs w:val="19"/>
          <w:lang w:eastAsia="fr-FR"/>
        </w:rPr>
        <w:br/>
        <w:t>c) A la fin de la seconde phrase du premier alinéa, les mots : « de par le procureur de la République » sont remplacés par les mots : « , par le maire de la commune du lieu de situation de l'immeuble, par le président de l'établissement public de coopération intercommunale compétent en matière d'habitat, par le représentant de l'Etat dans le département, par le procureur de la République ou, si le syndicat a fait l'objet de la procédure prévue aux articles 29-1 A et 29-1 B, par le mandataire ad hoc » ;</w:t>
      </w:r>
      <w:r w:rsidRPr="00874A27">
        <w:rPr>
          <w:rFonts w:ascii="Arial" w:eastAsia="Times New Roman" w:hAnsi="Arial" w:cs="Arial"/>
          <w:color w:val="000000"/>
          <w:sz w:val="19"/>
          <w:szCs w:val="19"/>
          <w:lang w:eastAsia="fr-FR"/>
        </w:rPr>
        <w:br/>
        <w:t>d) A la dernière phrase du dernier alinéa, après la seconde occurrence du mot : « provisoire », sont insérés les mots : « même si celui-ci n'a été désigné que pour convoquer l'assemblée générale en vue de désigner un syndic, » et, après le mot : « département, », sont insérés les mots : « du maire de la commune du lieu de situation de l'immeuble, du président de l'établissement public de coopération intercommunale compétent en matière d'habitat, » ;</w:t>
      </w:r>
      <w:r w:rsidRPr="00874A27">
        <w:rPr>
          <w:rFonts w:ascii="Arial" w:eastAsia="Times New Roman" w:hAnsi="Arial" w:cs="Arial"/>
          <w:color w:val="000000"/>
          <w:sz w:val="19"/>
          <w:szCs w:val="19"/>
          <w:lang w:eastAsia="fr-FR"/>
        </w:rPr>
        <w:br/>
        <w:t>e) Sont ajoutés un alinéa et des II et III ainsi rédigés :</w:t>
      </w:r>
      <w:r w:rsidRPr="00874A27">
        <w:rPr>
          <w:rFonts w:ascii="Arial" w:eastAsia="Times New Roman" w:hAnsi="Arial" w:cs="Arial"/>
          <w:color w:val="000000"/>
          <w:sz w:val="19"/>
          <w:szCs w:val="19"/>
          <w:lang w:eastAsia="fr-FR"/>
        </w:rPr>
        <w:br/>
        <w:t>« Un administrateur provisoire peut également être nommé pour liquider les dettes d'un syndicat en cas d'expropriation ou de dissolution du syndicat. La personnalité morale du syndicat exproprié ou dissous subsiste pour les besoins de la liquidation des dettes jusqu'à ce que le juge mette fin à la mission de l'administrateur provisoire. Pour les besoins de liquidation des dettes, les dispositions de la présente section sont applicables dans des conditions précisées par décret en Conseil d'Etat.</w:t>
      </w:r>
      <w:r w:rsidRPr="00874A27">
        <w:rPr>
          <w:rFonts w:ascii="Arial" w:eastAsia="Times New Roman" w:hAnsi="Arial" w:cs="Arial"/>
          <w:color w:val="000000"/>
          <w:sz w:val="19"/>
          <w:szCs w:val="19"/>
          <w:lang w:eastAsia="fr-FR"/>
        </w:rPr>
        <w:br/>
        <w:t>« II. ― Les modalités de rémunération de l'administrateur provisoire sont fixées par décret.</w:t>
      </w:r>
      <w:r w:rsidRPr="00874A27">
        <w:rPr>
          <w:rFonts w:ascii="Arial" w:eastAsia="Times New Roman" w:hAnsi="Arial" w:cs="Arial"/>
          <w:color w:val="000000"/>
          <w:sz w:val="19"/>
          <w:szCs w:val="19"/>
          <w:lang w:eastAsia="fr-FR"/>
        </w:rPr>
        <w:br/>
        <w:t>« III. ― Pour exercer les fonctions d'administrateur provisoire prévues au I, le juge peut désigner un administrateur judiciaire inscrit sur la liste des administrateurs judiciaires mentionnée à l'</w:t>
      </w:r>
      <w:hyperlink r:id="rId267" w:history="1">
        <w:r w:rsidRPr="00874A27">
          <w:rPr>
            <w:rFonts w:ascii="Arial" w:eastAsia="Times New Roman" w:hAnsi="Arial" w:cs="Arial"/>
            <w:color w:val="336699"/>
            <w:sz w:val="19"/>
            <w:szCs w:val="19"/>
            <w:u w:val="single"/>
            <w:lang w:eastAsia="fr-FR"/>
          </w:rPr>
          <w:t>article L. 811-2 du code de commerce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Le juge peut également désigner une personne physique ou morale justifiant d'une expérience ou d'une qualification particulière au regard de la nature de l'affaire et remplissant des conditions définies par décret.</w:t>
      </w:r>
      <w:r w:rsidRPr="00874A27">
        <w:rPr>
          <w:rFonts w:ascii="Arial" w:eastAsia="Times New Roman" w:hAnsi="Arial" w:cs="Arial"/>
          <w:color w:val="000000"/>
          <w:sz w:val="19"/>
          <w:szCs w:val="19"/>
          <w:lang w:eastAsia="fr-FR"/>
        </w:rPr>
        <w:br/>
        <w:t>« Si le syndicat a fait l'objet de la procédure prévue aux articles 29-1 A et 29-1 B de la présente loi, le mandataire ad hoc peut être désigné comme administrateur provisoire sur décision motivée du juge et après audition du conseil syndical. Dans les autres cas, les administrateurs provisoires désignés dans les conditions prévues au deuxième alinéa du présent III ne doivent pas, au cours des cinq années précédentes :</w:t>
      </w:r>
      <w:r w:rsidRPr="00874A27">
        <w:rPr>
          <w:rFonts w:ascii="Arial" w:eastAsia="Times New Roman" w:hAnsi="Arial" w:cs="Arial"/>
          <w:color w:val="000000"/>
          <w:sz w:val="19"/>
          <w:szCs w:val="19"/>
          <w:lang w:eastAsia="fr-FR"/>
        </w:rPr>
        <w:br/>
        <w:t>« 1° Avoir perçu à quelque titre que ce soit, directement ou indirectement, une rétribution ou un paiement de la part du syndic, du syndicat des copropriétaires ou des créanciers à l'origine de la procédure, ni d'une personne qui détient le contrôle du syndic ou d'un des créanciers, au sens des </w:t>
      </w:r>
      <w:hyperlink r:id="rId268" w:history="1">
        <w:r w:rsidRPr="00874A27">
          <w:rPr>
            <w:rFonts w:ascii="Arial" w:eastAsia="Times New Roman" w:hAnsi="Arial" w:cs="Arial"/>
            <w:color w:val="336699"/>
            <w:sz w:val="19"/>
            <w:szCs w:val="19"/>
            <w:u w:val="single"/>
            <w:lang w:eastAsia="fr-FR"/>
          </w:rPr>
          <w:t>II et III de l'article L. 233-16 du code de commerce</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 2° S'être trouvés en situation de conseil du syndic, du syndicat des copropriétaires ou des créanciers concernés ou de subordination par rapport à eux ;</w:t>
      </w:r>
      <w:r w:rsidRPr="00874A27">
        <w:rPr>
          <w:rFonts w:ascii="Arial" w:eastAsia="Times New Roman" w:hAnsi="Arial" w:cs="Arial"/>
          <w:color w:val="000000"/>
          <w:sz w:val="19"/>
          <w:szCs w:val="19"/>
          <w:lang w:eastAsia="fr-FR"/>
        </w:rPr>
        <w:br/>
        <w:t>« 3° Avoir un intérêt dans le mandat qui leur est donné ;</w:t>
      </w:r>
      <w:r w:rsidRPr="00874A27">
        <w:rPr>
          <w:rFonts w:ascii="Arial" w:eastAsia="Times New Roman" w:hAnsi="Arial" w:cs="Arial"/>
          <w:color w:val="000000"/>
          <w:sz w:val="19"/>
          <w:szCs w:val="19"/>
          <w:lang w:eastAsia="fr-FR"/>
        </w:rPr>
        <w:br/>
        <w:t>« 4° Etre au nombre des anciens administrateurs ou mandataires judiciaires ayant fait l'objet d'une décision de radiation ou de retrait des listes, en application des articles L. 811-6, L. 811-12 et L. 812-4 du même code.</w:t>
      </w:r>
      <w:r w:rsidRPr="00874A27">
        <w:rPr>
          <w:rFonts w:ascii="Arial" w:eastAsia="Times New Roman" w:hAnsi="Arial" w:cs="Arial"/>
          <w:color w:val="000000"/>
          <w:sz w:val="19"/>
          <w:szCs w:val="19"/>
          <w:lang w:eastAsia="fr-FR"/>
        </w:rPr>
        <w:br/>
        <w:t>« Ils sont tenus d'exécuter les mandats qui leur sont confiés en se conformant, dans l'accomplissement de leurs diligences professionnelles, aux mêmes obligations que celles qui s'imposent aux administrateurs judiciaires. » ;</w:t>
      </w:r>
      <w:r w:rsidRPr="00874A27">
        <w:rPr>
          <w:rFonts w:ascii="Arial" w:eastAsia="Times New Roman" w:hAnsi="Arial" w:cs="Arial"/>
          <w:color w:val="000000"/>
          <w:sz w:val="19"/>
          <w:szCs w:val="19"/>
          <w:lang w:eastAsia="fr-FR"/>
        </w:rPr>
        <w:br/>
        <w:t>2° Les articles 29-2 à 29-6 sont ainsi rédigés :</w:t>
      </w:r>
      <w:r w:rsidRPr="00874A27">
        <w:rPr>
          <w:rFonts w:ascii="Arial" w:eastAsia="Times New Roman" w:hAnsi="Arial" w:cs="Arial"/>
          <w:color w:val="000000"/>
          <w:sz w:val="19"/>
          <w:szCs w:val="19"/>
          <w:lang w:eastAsia="fr-FR"/>
        </w:rPr>
        <w:br/>
        <w:t>« Art. 29-2. - Une copie de l'ordonnance de désignation de l'administrateur provisoire ainsi que les rapports établis par celui-ci sont portés à la connaissance des copropriétaires.</w:t>
      </w:r>
      <w:r w:rsidRPr="00874A27">
        <w:rPr>
          <w:rFonts w:ascii="Arial" w:eastAsia="Times New Roman" w:hAnsi="Arial" w:cs="Arial"/>
          <w:color w:val="000000"/>
          <w:sz w:val="19"/>
          <w:szCs w:val="19"/>
          <w:lang w:eastAsia="fr-FR"/>
        </w:rPr>
        <w:br/>
        <w:t>« Une copie de l'ordonnance de désignation est également adressée par le greffe du tribunal de grande instance au procureur de la République, au représentant de l'Etat dans le département, au maire de la commune et au président de l'établissement public de coopération intercommunale compétent en matière d'habitat du lieu de situation de l'immeuble concerné. A leur demande, les rapports établis par l'administrateur provisoire leur sont communiqués par le greffe du tribunal de grande instance.</w:t>
      </w:r>
      <w:r w:rsidRPr="00874A27">
        <w:rPr>
          <w:rFonts w:ascii="Arial" w:eastAsia="Times New Roman" w:hAnsi="Arial" w:cs="Arial"/>
          <w:color w:val="000000"/>
          <w:sz w:val="19"/>
          <w:szCs w:val="19"/>
          <w:lang w:eastAsia="fr-FR"/>
        </w:rPr>
        <w:br/>
        <w:t>« Art. 29-3. - I. ― L'ordonnance de désignation d'un administrateur provisoire prévue à l'article 29-1 emporte suspension de l'exigibilité des créances, autres que les créances publiques et sociales, ayant leur origine antérieurement à cette décision, pour une période de douze mois.</w:t>
      </w:r>
      <w:r w:rsidRPr="00874A27">
        <w:rPr>
          <w:rFonts w:ascii="Arial" w:eastAsia="Times New Roman" w:hAnsi="Arial" w:cs="Arial"/>
          <w:color w:val="000000"/>
          <w:sz w:val="19"/>
          <w:szCs w:val="19"/>
          <w:lang w:eastAsia="fr-FR"/>
        </w:rPr>
        <w:br/>
        <w:t>« Elle interrompt ou interdit toute action en justice de la part de tous les créanciers dont la créance a son origine antérieurement à cette décision et tendant à :</w:t>
      </w:r>
      <w:r w:rsidRPr="00874A27">
        <w:rPr>
          <w:rFonts w:ascii="Arial" w:eastAsia="Times New Roman" w:hAnsi="Arial" w:cs="Arial"/>
          <w:color w:val="000000"/>
          <w:sz w:val="19"/>
          <w:szCs w:val="19"/>
          <w:lang w:eastAsia="fr-FR"/>
        </w:rPr>
        <w:br/>
        <w:t>« 1° La condamnation du syndicat débiteur au paiement d'une somme d'argent ;</w:t>
      </w:r>
      <w:r w:rsidRPr="00874A27">
        <w:rPr>
          <w:rFonts w:ascii="Arial" w:eastAsia="Times New Roman" w:hAnsi="Arial" w:cs="Arial"/>
          <w:color w:val="000000"/>
          <w:sz w:val="19"/>
          <w:szCs w:val="19"/>
          <w:lang w:eastAsia="fr-FR"/>
        </w:rPr>
        <w:br/>
        <w:t>« 2° La résolution d'un contrat pour défaut de paiement d'une somme d'argent.</w:t>
      </w:r>
      <w:r w:rsidRPr="00874A27">
        <w:rPr>
          <w:rFonts w:ascii="Arial" w:eastAsia="Times New Roman" w:hAnsi="Arial" w:cs="Arial"/>
          <w:color w:val="000000"/>
          <w:sz w:val="19"/>
          <w:szCs w:val="19"/>
          <w:lang w:eastAsia="fr-FR"/>
        </w:rPr>
        <w:br/>
        <w:t>« Elle arrête ou interdit également toute procédure d'exécution de la part de ces créanciers ainsi que toute procédure de distribution n'ayant pas produit un effet attributif avant cette décision.</w:t>
      </w:r>
      <w:r w:rsidRPr="00874A27">
        <w:rPr>
          <w:rFonts w:ascii="Arial" w:eastAsia="Times New Roman" w:hAnsi="Arial" w:cs="Arial"/>
          <w:color w:val="000000"/>
          <w:sz w:val="19"/>
          <w:szCs w:val="19"/>
          <w:lang w:eastAsia="fr-FR"/>
        </w:rPr>
        <w:br/>
        <w:t>« L'ordonnance de désignation emporte également suspension des stipulations contractuelles prévoyant des majorations ou des pénalités de retard ainsi que la résolution de plein droit du contrat.</w:t>
      </w:r>
      <w:r w:rsidRPr="00874A27">
        <w:rPr>
          <w:rFonts w:ascii="Arial" w:eastAsia="Times New Roman" w:hAnsi="Arial" w:cs="Arial"/>
          <w:color w:val="000000"/>
          <w:sz w:val="19"/>
          <w:szCs w:val="19"/>
          <w:lang w:eastAsia="fr-FR"/>
        </w:rPr>
        <w:br/>
        <w:t>« Le présent I est applicable aux emprunts collectifs conclus par le syndicat des copropriétaires. Si, en application de l'article 26-6, le prêteur bénéficie d'une délégation du syndic l'autorisant à prélever directement auprès de chaque copropriétaire les sommes dues par ce dernier au titre du remboursement de l'emprunt collectif et du paiement des accessoires, cette délégation est suspendue par l'ordonnance de désignation.</w:t>
      </w:r>
      <w:r w:rsidRPr="00874A27">
        <w:rPr>
          <w:rFonts w:ascii="Arial" w:eastAsia="Times New Roman" w:hAnsi="Arial" w:cs="Arial"/>
          <w:color w:val="000000"/>
          <w:sz w:val="19"/>
          <w:szCs w:val="19"/>
          <w:lang w:eastAsia="fr-FR"/>
        </w:rPr>
        <w:br/>
        <w:t>« II. ― Le juge, statuant en la forme des référés, peut, sur demande de l'administrateur provisoire, proroger la suspension prévue au I du présent article jusqu'à trente mois.</w:t>
      </w:r>
      <w:r w:rsidRPr="00874A27">
        <w:rPr>
          <w:rFonts w:ascii="Arial" w:eastAsia="Times New Roman" w:hAnsi="Arial" w:cs="Arial"/>
          <w:color w:val="000000"/>
          <w:sz w:val="19"/>
          <w:szCs w:val="19"/>
          <w:lang w:eastAsia="fr-FR"/>
        </w:rPr>
        <w:br/>
        <w:t>« III. ― Le juge, statuant en la forme des référés, peut, sur demande de l'administrateur provisoire, prononcer la résiliation d'un contrat ou ordonner la poursuite de l'exécution du contrat.</w:t>
      </w:r>
      <w:r w:rsidRPr="00874A27">
        <w:rPr>
          <w:rFonts w:ascii="Arial" w:eastAsia="Times New Roman" w:hAnsi="Arial" w:cs="Arial"/>
          <w:color w:val="000000"/>
          <w:sz w:val="19"/>
          <w:szCs w:val="19"/>
          <w:lang w:eastAsia="fr-FR"/>
        </w:rPr>
        <w:br/>
        <w:t>« IV. ― Les actions en justice et les voies d'exécution autres que celles suspendues, interdites ou arrêtées dans les conditions prévues au présent article sont poursuivies à l'encontre du syndicat des copropriétaires, après mise en cause par l'administrateur provisoire.</w:t>
      </w:r>
      <w:r w:rsidRPr="00874A27">
        <w:rPr>
          <w:rFonts w:ascii="Arial" w:eastAsia="Times New Roman" w:hAnsi="Arial" w:cs="Arial"/>
          <w:color w:val="000000"/>
          <w:sz w:val="19"/>
          <w:szCs w:val="19"/>
          <w:lang w:eastAsia="fr-FR"/>
        </w:rPr>
        <w:br/>
        <w:t>« Art. 29-4. - I. ― Dans un délai de deux mois à compter de sa nomination, l'administrateur provisoire procède à des mesures de publicité pour permettre aux créanciers de produire les éléments nécessaires à l'évaluation du montant de leurs créances.</w:t>
      </w:r>
      <w:r w:rsidRPr="00874A27">
        <w:rPr>
          <w:rFonts w:ascii="Arial" w:eastAsia="Times New Roman" w:hAnsi="Arial" w:cs="Arial"/>
          <w:color w:val="000000"/>
          <w:sz w:val="19"/>
          <w:szCs w:val="19"/>
          <w:lang w:eastAsia="fr-FR"/>
        </w:rPr>
        <w:br/>
        <w:t>« II. ― A partir de la publication de l'ordonnance de désignation de l'administrateur provisoire, les créanciers du syndicat des copropriétaires déclarent leurs créances dans un délai fixé par décret en Conseil d'Etat.</w:t>
      </w:r>
      <w:r w:rsidRPr="00874A27">
        <w:rPr>
          <w:rFonts w:ascii="Arial" w:eastAsia="Times New Roman" w:hAnsi="Arial" w:cs="Arial"/>
          <w:color w:val="000000"/>
          <w:sz w:val="19"/>
          <w:szCs w:val="19"/>
          <w:lang w:eastAsia="fr-FR"/>
        </w:rPr>
        <w:br/>
        <w:t>« Après vérification des créances déclarées, l'administrateur provisoire établit et publie la liste des créances déclarées.</w:t>
      </w:r>
      <w:r w:rsidRPr="00874A27">
        <w:rPr>
          <w:rFonts w:ascii="Arial" w:eastAsia="Times New Roman" w:hAnsi="Arial" w:cs="Arial"/>
          <w:color w:val="000000"/>
          <w:sz w:val="19"/>
          <w:szCs w:val="19"/>
          <w:lang w:eastAsia="fr-FR"/>
        </w:rPr>
        <w:br/>
        <w:t>« Les créanciers disposent d'un délai de deux mois à compter de la publication de la liste pour contester son contenu auprès du président du tribunal de grande instance.</w:t>
      </w:r>
      <w:r w:rsidRPr="00874A27">
        <w:rPr>
          <w:rFonts w:ascii="Arial" w:eastAsia="Times New Roman" w:hAnsi="Arial" w:cs="Arial"/>
          <w:color w:val="000000"/>
          <w:sz w:val="19"/>
          <w:szCs w:val="19"/>
          <w:lang w:eastAsia="fr-FR"/>
        </w:rPr>
        <w:br/>
        <w:t xml:space="preserve">« III. ― Les créances non déclarées régulièrement dans les délais prévus au II sont inopposables à </w:t>
      </w:r>
      <w:r w:rsidRPr="00874A27">
        <w:rPr>
          <w:rFonts w:ascii="Arial" w:eastAsia="Times New Roman" w:hAnsi="Arial" w:cs="Arial"/>
          <w:color w:val="000000"/>
          <w:sz w:val="19"/>
          <w:szCs w:val="19"/>
          <w:lang w:eastAsia="fr-FR"/>
        </w:rPr>
        <w:lastRenderedPageBreak/>
        <w:t>la procédure.</w:t>
      </w:r>
      <w:r w:rsidRPr="00874A27">
        <w:rPr>
          <w:rFonts w:ascii="Arial" w:eastAsia="Times New Roman" w:hAnsi="Arial" w:cs="Arial"/>
          <w:color w:val="000000"/>
          <w:sz w:val="19"/>
          <w:szCs w:val="19"/>
          <w:lang w:eastAsia="fr-FR"/>
        </w:rPr>
        <w:br/>
        <w:t>« Art. 29-5. - I. ― L'administrateur provisoire établit un plan d'apurement des dettes.</w:t>
      </w:r>
      <w:r w:rsidRPr="00874A27">
        <w:rPr>
          <w:rFonts w:ascii="Arial" w:eastAsia="Times New Roman" w:hAnsi="Arial" w:cs="Arial"/>
          <w:color w:val="000000"/>
          <w:sz w:val="19"/>
          <w:szCs w:val="19"/>
          <w:lang w:eastAsia="fr-FR"/>
        </w:rPr>
        <w:br/>
        <w:t>« Ce plan, d'une durée maximale de cinq ans, comporte un échéancier des versements auprès des créanciers du syndicat des copropriétaires.</w:t>
      </w:r>
      <w:r w:rsidRPr="00874A27">
        <w:rPr>
          <w:rFonts w:ascii="Arial" w:eastAsia="Times New Roman" w:hAnsi="Arial" w:cs="Arial"/>
          <w:color w:val="000000"/>
          <w:sz w:val="19"/>
          <w:szCs w:val="19"/>
          <w:lang w:eastAsia="fr-FR"/>
        </w:rPr>
        <w:br/>
        <w:t>« II. ― Le projet d'échéancier est notifié aux créanciers figurant dans la liste prévue au deuxième alinéa du II de l'article 29-4.</w:t>
      </w:r>
      <w:r w:rsidRPr="00874A27">
        <w:rPr>
          <w:rFonts w:ascii="Arial" w:eastAsia="Times New Roman" w:hAnsi="Arial" w:cs="Arial"/>
          <w:color w:val="000000"/>
          <w:sz w:val="19"/>
          <w:szCs w:val="19"/>
          <w:lang w:eastAsia="fr-FR"/>
        </w:rPr>
        <w:br/>
        <w:t>« Les créanciers disposent d'un délai de deux mois à compter de cette notification pour faire part de leurs observations. Les créanciers peuvent formuler individuellement des propositions de remise de dettes.</w:t>
      </w:r>
      <w:r w:rsidRPr="00874A27">
        <w:rPr>
          <w:rFonts w:ascii="Arial" w:eastAsia="Times New Roman" w:hAnsi="Arial" w:cs="Arial"/>
          <w:color w:val="000000"/>
          <w:sz w:val="19"/>
          <w:szCs w:val="19"/>
          <w:lang w:eastAsia="fr-FR"/>
        </w:rPr>
        <w:br/>
        <w:t>« L'administrateur provisoire notifie le plan d'apurement définitif aux créanciers et au conseil syndical. Les créanciers disposent d'un délai de deux mois à compter de cette notification pour saisir le juge d'une contestation.</w:t>
      </w:r>
      <w:r w:rsidRPr="00874A27">
        <w:rPr>
          <w:rFonts w:ascii="Arial" w:eastAsia="Times New Roman" w:hAnsi="Arial" w:cs="Arial"/>
          <w:color w:val="000000"/>
          <w:sz w:val="19"/>
          <w:szCs w:val="19"/>
          <w:lang w:eastAsia="fr-FR"/>
        </w:rPr>
        <w:br/>
        <w:t>« A défaut de contestation dans ce délai, le juge homologue le plan à la demande de l'administrateur provisoire. L'ordonnance d'homologation est notifiée aux créanciers et au conseil syndical avec le plan d'apurement définitif.</w:t>
      </w:r>
      <w:r w:rsidRPr="00874A27">
        <w:rPr>
          <w:rFonts w:ascii="Arial" w:eastAsia="Times New Roman" w:hAnsi="Arial" w:cs="Arial"/>
          <w:color w:val="000000"/>
          <w:sz w:val="19"/>
          <w:szCs w:val="19"/>
          <w:lang w:eastAsia="fr-FR"/>
        </w:rPr>
        <w:br/>
        <w:t>« III. ― La notification de l'ordonnance ou du jugement entraîne, tant que le plan d'apurement est respecté, le maintien de la suspension de l'exigibilité des créances prévue aux I et II de l'article 29-3.</w:t>
      </w:r>
      <w:r w:rsidRPr="00874A27">
        <w:rPr>
          <w:rFonts w:ascii="Arial" w:eastAsia="Times New Roman" w:hAnsi="Arial" w:cs="Arial"/>
          <w:color w:val="000000"/>
          <w:sz w:val="19"/>
          <w:szCs w:val="19"/>
          <w:lang w:eastAsia="fr-FR"/>
        </w:rPr>
        <w:br/>
        <w:t>« Le plan d'apurement est mis en œuvre par le syndic à l'issue de la mission de l'administrateur provisoire.</w:t>
      </w:r>
      <w:r w:rsidRPr="00874A27">
        <w:rPr>
          <w:rFonts w:ascii="Arial" w:eastAsia="Times New Roman" w:hAnsi="Arial" w:cs="Arial"/>
          <w:color w:val="000000"/>
          <w:sz w:val="19"/>
          <w:szCs w:val="19"/>
          <w:lang w:eastAsia="fr-FR"/>
        </w:rPr>
        <w:br/>
        <w:t>« IV. ― Si la situation financière du syndicat des copropriétaires évolue, le plan d'apurement peut être prorogé ou modifié par décision du juge, saisi par le syndicat des copropriétaires, des copropriétaires représentant au moins 15 % des voix, les créanciers, le syndic ou l'administrateur provisoire.</w:t>
      </w:r>
      <w:r w:rsidRPr="00874A27">
        <w:rPr>
          <w:rFonts w:ascii="Arial" w:eastAsia="Times New Roman" w:hAnsi="Arial" w:cs="Arial"/>
          <w:color w:val="000000"/>
          <w:sz w:val="19"/>
          <w:szCs w:val="19"/>
          <w:lang w:eastAsia="fr-FR"/>
        </w:rPr>
        <w:br/>
        <w:t>« V. ― Dès lors qu'ils ne compromettent pas la réalisation du plan d'apurement, l'administrateur provisoire peut conclure avec les copropriétaires des échéanciers individualisés de remboursement de leurs dettes vis-à-vis du syndicat.</w:t>
      </w:r>
      <w:r w:rsidRPr="00874A27">
        <w:rPr>
          <w:rFonts w:ascii="Arial" w:eastAsia="Times New Roman" w:hAnsi="Arial" w:cs="Arial"/>
          <w:color w:val="000000"/>
          <w:sz w:val="19"/>
          <w:szCs w:val="19"/>
          <w:lang w:eastAsia="fr-FR"/>
        </w:rPr>
        <w:br/>
        <w:t>« Art. 29-6. - Si le syndicat des copropriétaires dispose d'actifs cessibles, notamment des locaux ou des parcelles de terrain non bâti, de nature à apurer les dettes du syndicat, l'administrateur provisoire peut demander au juge l'autorisation de réaliser les cessions par dérogation au a de l'article 26 et au deuxième alinéa du I de l'article 29-1 et de modifier en conséquence le règlement de copropriété et l'état descriptif de division.</w:t>
      </w:r>
      <w:r w:rsidRPr="00874A27">
        <w:rPr>
          <w:rFonts w:ascii="Arial" w:eastAsia="Times New Roman" w:hAnsi="Arial" w:cs="Arial"/>
          <w:color w:val="000000"/>
          <w:sz w:val="19"/>
          <w:szCs w:val="19"/>
          <w:lang w:eastAsia="fr-FR"/>
        </w:rPr>
        <w:br/>
        <w:t>« A l'appui de cette demande, l'administrateur provisoire produit un rapport faisant état de l'évaluation des biens cessibles et consignant l'avis du conseil syndical.</w:t>
      </w:r>
      <w:r w:rsidRPr="00874A27">
        <w:rPr>
          <w:rFonts w:ascii="Arial" w:eastAsia="Times New Roman" w:hAnsi="Arial" w:cs="Arial"/>
          <w:color w:val="000000"/>
          <w:sz w:val="19"/>
          <w:szCs w:val="19"/>
          <w:lang w:eastAsia="fr-FR"/>
        </w:rPr>
        <w:br/>
        <w:t>« La durée de l'autorisation fixée par le juge ne peut excéder cinq ans. Si la cession des actifs est réalisée dans ce délai, elle conduit à la modification de l'échéancier des appels de fonds auprès des copropriétaires prévu par le plan d'apurement des dettes, selon la procédure définie au IV de l'article 29-5. » ;</w:t>
      </w:r>
      <w:r w:rsidRPr="00874A27">
        <w:rPr>
          <w:rFonts w:ascii="Arial" w:eastAsia="Times New Roman" w:hAnsi="Arial" w:cs="Arial"/>
          <w:color w:val="000000"/>
          <w:sz w:val="19"/>
          <w:szCs w:val="19"/>
          <w:lang w:eastAsia="fr-FR"/>
        </w:rPr>
        <w:br/>
        <w:t>3° La section 2 du chapitre II est complétée par des articles 29-7 à 29-15 ainsi rédigés :</w:t>
      </w:r>
      <w:r w:rsidRPr="00874A27">
        <w:rPr>
          <w:rFonts w:ascii="Arial" w:eastAsia="Times New Roman" w:hAnsi="Arial" w:cs="Arial"/>
          <w:color w:val="000000"/>
          <w:sz w:val="19"/>
          <w:szCs w:val="19"/>
          <w:lang w:eastAsia="fr-FR"/>
        </w:rPr>
        <w:br/>
        <w:t>« Art. 29-7. - L'administrateur provisoire évalue, dans le cadre de l'élaboration du plan d'apurement soumis au juge, la somme des créances irrécouvrables du syndicat sur les copropriétaires.</w:t>
      </w:r>
      <w:r w:rsidRPr="00874A27">
        <w:rPr>
          <w:rFonts w:ascii="Arial" w:eastAsia="Times New Roman" w:hAnsi="Arial" w:cs="Arial"/>
          <w:color w:val="000000"/>
          <w:sz w:val="19"/>
          <w:szCs w:val="19"/>
          <w:lang w:eastAsia="fr-FR"/>
        </w:rPr>
        <w:br/>
        <w:t>« En l'absence d'actifs du syndicat des copropriétaires pouvant être cédés dans les conditions définies à l'article 29-6 ou si les cessions n'ont pas trouvé preneur, l'administrateur provisoire peut demander au juge d'effacer partiellement les dettes du syndicat pour un montant équivalant au montant des créances irrécouvrables.</w:t>
      </w:r>
      <w:r w:rsidRPr="00874A27">
        <w:rPr>
          <w:rFonts w:ascii="Arial" w:eastAsia="Times New Roman" w:hAnsi="Arial" w:cs="Arial"/>
          <w:color w:val="000000"/>
          <w:sz w:val="19"/>
          <w:szCs w:val="19"/>
          <w:lang w:eastAsia="fr-FR"/>
        </w:rPr>
        <w:br/>
        <w:t>« Le juge peut effacer tout ou partie des dettes. Le montant effacé est réparti entre les créanciers du syndicat proportionnellement au montant de leur créance et intégré par l'administrateur provisoire au plan d'apurement des dettes, qui est ensuite homologué par le juge dans les conditions prévues au II de l'article 29-5. Le jugement ordonne également mainlevée des éventuelles inscriptions hypothécaires relatives à ces dettes inscrites sur les locaux appartenant au syndicat des copropriétaires.</w:t>
      </w:r>
      <w:r w:rsidRPr="00874A27">
        <w:rPr>
          <w:rFonts w:ascii="Arial" w:eastAsia="Times New Roman" w:hAnsi="Arial" w:cs="Arial"/>
          <w:color w:val="000000"/>
          <w:sz w:val="19"/>
          <w:szCs w:val="19"/>
          <w:lang w:eastAsia="fr-FR"/>
        </w:rPr>
        <w:br/>
        <w:t>« Art. 29-8. - I. ― Si la gestion et le fonctionnement normal de la copropriété ne peuvent être rétablis autrement, le juge peut prononcer aux conditions qu'il fixe et sur demande de l'administrateur provisoire :</w:t>
      </w:r>
      <w:r w:rsidRPr="00874A27">
        <w:rPr>
          <w:rFonts w:ascii="Arial" w:eastAsia="Times New Roman" w:hAnsi="Arial" w:cs="Arial"/>
          <w:color w:val="000000"/>
          <w:sz w:val="19"/>
          <w:szCs w:val="19"/>
          <w:lang w:eastAsia="fr-FR"/>
        </w:rPr>
        <w:br/>
        <w:t>« 1° La constitution d'un ou plusieurs syndicats secondaires ;</w:t>
      </w:r>
      <w:r w:rsidRPr="00874A27">
        <w:rPr>
          <w:rFonts w:ascii="Arial" w:eastAsia="Times New Roman" w:hAnsi="Arial" w:cs="Arial"/>
          <w:color w:val="000000"/>
          <w:sz w:val="19"/>
          <w:szCs w:val="19"/>
          <w:lang w:eastAsia="fr-FR"/>
        </w:rPr>
        <w:br/>
        <w:t>« 2° La division du syndicat.</w:t>
      </w:r>
      <w:r w:rsidRPr="00874A27">
        <w:rPr>
          <w:rFonts w:ascii="Arial" w:eastAsia="Times New Roman" w:hAnsi="Arial" w:cs="Arial"/>
          <w:color w:val="000000"/>
          <w:sz w:val="19"/>
          <w:szCs w:val="19"/>
          <w:lang w:eastAsia="fr-FR"/>
        </w:rPr>
        <w:br/>
        <w:t>« Lorsque l'administrateur provisoire demande une division en volumes, le juge statue au vu des conclusions du rapport d'un expert désigné par ses soins, aux frais du syndicat des copropriétaires, établissant que l'immeuble ou l'ensemble immobilier peuvent être scindés en volumes sans parties communes indivises et fonctionnant de façon autonome, et après consultation du maire de la commune du lieu d'implantation et du président de l'établissement public de coopération intercommunale compétent en matière d'habitat.</w:t>
      </w:r>
      <w:r w:rsidRPr="00874A27">
        <w:rPr>
          <w:rFonts w:ascii="Arial" w:eastAsia="Times New Roman" w:hAnsi="Arial" w:cs="Arial"/>
          <w:color w:val="000000"/>
          <w:sz w:val="19"/>
          <w:szCs w:val="19"/>
          <w:lang w:eastAsia="fr-FR"/>
        </w:rPr>
        <w:br/>
        <w:t xml:space="preserve">« A l'appui de ces demandes, l'administrateur provisoire établit un rapport faisant état de l'avis du conseil syndical et précisant les conditions matérielles, juridiques et financières de division du syndicat ou de constitution d'un syndicat secondaire. Il établit notamment la répartition des parties </w:t>
      </w:r>
      <w:r w:rsidRPr="00874A27">
        <w:rPr>
          <w:rFonts w:ascii="Arial" w:eastAsia="Times New Roman" w:hAnsi="Arial" w:cs="Arial"/>
          <w:color w:val="000000"/>
          <w:sz w:val="19"/>
          <w:szCs w:val="19"/>
          <w:lang w:eastAsia="fr-FR"/>
        </w:rPr>
        <w:lastRenderedPageBreak/>
        <w:t>communes du syndicat initial, les projets de règlement de copropriété et les états descriptifs de division des nouveaux syndicats, dresse un état des créances et des dettes du syndicat et en établit la répartition selon les principes définis au II de l'article 28.</w:t>
      </w:r>
      <w:r w:rsidRPr="00874A27">
        <w:rPr>
          <w:rFonts w:ascii="Arial" w:eastAsia="Times New Roman" w:hAnsi="Arial" w:cs="Arial"/>
          <w:color w:val="000000"/>
          <w:sz w:val="19"/>
          <w:szCs w:val="19"/>
          <w:lang w:eastAsia="fr-FR"/>
        </w:rPr>
        <w:br/>
        <w:t>« L'administrateur provisoire établit, concomitamment à l'état des créances et des dettes, un plan d'apurement des dettes transmises pour chacun des syndicats créés par la division. Ce plan est validé et s'impose aux syndicats issus de la division, qui le mettent en œuvre selon les modalités définies à l'article 29-5.</w:t>
      </w:r>
      <w:r w:rsidRPr="00874A27">
        <w:rPr>
          <w:rFonts w:ascii="Arial" w:eastAsia="Times New Roman" w:hAnsi="Arial" w:cs="Arial"/>
          <w:color w:val="000000"/>
          <w:sz w:val="19"/>
          <w:szCs w:val="19"/>
          <w:lang w:eastAsia="fr-FR"/>
        </w:rPr>
        <w:br/>
        <w:t>« La répartition validée des dettes entre les syndicats est notifiée individuellement à chacun des créanciers connus du syndicat initial.</w:t>
      </w:r>
      <w:r w:rsidRPr="00874A27">
        <w:rPr>
          <w:rFonts w:ascii="Arial" w:eastAsia="Times New Roman" w:hAnsi="Arial" w:cs="Arial"/>
          <w:color w:val="000000"/>
          <w:sz w:val="19"/>
          <w:szCs w:val="19"/>
          <w:lang w:eastAsia="fr-FR"/>
        </w:rPr>
        <w:br/>
        <w:t>« II. ― Si des travaux préalables pour réaliser la constitution d'un syndicat secondaire ou les divisions prévues au présent article sont nécessaires, le juge peut autoriser l'administrateur provisoire à faire réaliser les travaux aux frais des copropriétaires.</w:t>
      </w:r>
      <w:r w:rsidRPr="00874A27">
        <w:rPr>
          <w:rFonts w:ascii="Arial" w:eastAsia="Times New Roman" w:hAnsi="Arial" w:cs="Arial"/>
          <w:color w:val="000000"/>
          <w:sz w:val="19"/>
          <w:szCs w:val="19"/>
          <w:lang w:eastAsia="fr-FR"/>
        </w:rPr>
        <w:br/>
        <w:t>« III. ― Le jugement autorisant la division ou la constitution d'un syndicat secondaire homologue également les nouveaux règlements de copropriété et états descriptifs de division des syndicats issus de la division ou les modifications du règlement de copropriété résultant de la constitution d'un syndicat secondaire.</w:t>
      </w:r>
      <w:r w:rsidRPr="00874A27">
        <w:rPr>
          <w:rFonts w:ascii="Arial" w:eastAsia="Times New Roman" w:hAnsi="Arial" w:cs="Arial"/>
          <w:color w:val="000000"/>
          <w:sz w:val="19"/>
          <w:szCs w:val="19"/>
          <w:lang w:eastAsia="fr-FR"/>
        </w:rPr>
        <w:br/>
        <w:t>« Le jugement prononçant la division du syndicat emporte dissolution du syndicat initial.</w:t>
      </w:r>
      <w:r w:rsidRPr="00874A27">
        <w:rPr>
          <w:rFonts w:ascii="Arial" w:eastAsia="Times New Roman" w:hAnsi="Arial" w:cs="Arial"/>
          <w:color w:val="000000"/>
          <w:sz w:val="19"/>
          <w:szCs w:val="19"/>
          <w:lang w:eastAsia="fr-FR"/>
        </w:rPr>
        <w:br/>
        <w:t>« Le juge désigne, pour chaque syndicat des copropriétaires issu des divisions prévues au présent article ou pour chaque syndicat secondaire constitué en application du présent article, la personne chargée de convoquer l'assemblée générale en vue de la désignation d'un syndic.</w:t>
      </w:r>
      <w:r w:rsidRPr="00874A27">
        <w:rPr>
          <w:rFonts w:ascii="Arial" w:eastAsia="Times New Roman" w:hAnsi="Arial" w:cs="Arial"/>
          <w:color w:val="000000"/>
          <w:sz w:val="19"/>
          <w:szCs w:val="19"/>
          <w:lang w:eastAsia="fr-FR"/>
        </w:rPr>
        <w:br/>
        <w:t>« Art. 29-9. - Sur saisine motivée de l'administrateur provisoire et si le rétablissement financier de la copropriété le nécessite, le juge peut l'autoriser à modifier le règlement de copropriété afin de tenir compte de travaux concourant au redressement de la copropriété, notamment d'individualisation du chauffage, et modifiant la répartition des charges. Dans le cas de travaux d'individualisation du chauffage, le juge autorise par la même décision la réalisation de ces travaux.</w:t>
      </w:r>
      <w:r w:rsidRPr="00874A27">
        <w:rPr>
          <w:rFonts w:ascii="Arial" w:eastAsia="Times New Roman" w:hAnsi="Arial" w:cs="Arial"/>
          <w:color w:val="000000"/>
          <w:sz w:val="19"/>
          <w:szCs w:val="19"/>
          <w:lang w:eastAsia="fr-FR"/>
        </w:rPr>
        <w:br/>
        <w:t>« Sur saisine motivée de l'administrateur provisoire et si leurs coûts d'entretien, de gestion ou de remise à niveau compromettent de façon irrémédiable l'équilibre financier du syndicat des copropriétaires, le juge peut autoriser l'administrateur provisoire à céder à titre gracieux à la commune ou à l'établissement public de coopération intercommunale compétent en matière d'habitat les parcelles de terrain non bâti d'intérêt public ou des locaux ou équipements communs pouvant relever d'une gestion publique et modifier en conséquence le règlement de copropriété et l'état descriptif de division.</w:t>
      </w:r>
      <w:r w:rsidRPr="00874A27">
        <w:rPr>
          <w:rFonts w:ascii="Arial" w:eastAsia="Times New Roman" w:hAnsi="Arial" w:cs="Arial"/>
          <w:color w:val="000000"/>
          <w:sz w:val="19"/>
          <w:szCs w:val="19"/>
          <w:lang w:eastAsia="fr-FR"/>
        </w:rPr>
        <w:br/>
        <w:t>« Art. 29-10. - L'administrateur provisoire peut proposer au représentant de l'Etat dans le département d'initier un plan de sauvegarde en application de l'</w:t>
      </w:r>
      <w:hyperlink r:id="rId269" w:history="1">
        <w:r w:rsidRPr="00874A27">
          <w:rPr>
            <w:rFonts w:ascii="Arial" w:eastAsia="Times New Roman" w:hAnsi="Arial" w:cs="Arial"/>
            <w:color w:val="336699"/>
            <w:sz w:val="19"/>
            <w:szCs w:val="19"/>
            <w:u w:val="single"/>
            <w:lang w:eastAsia="fr-FR"/>
          </w:rPr>
          <w:t>article L. 615-1 du code de la construction et de l'habitation</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Lorsque la démarche d'élaboration d'un plan de sauvegarde est engagée, l'administrateur provisoire est membre de plein droit de la commission mentionnée au I du même article.</w:t>
      </w:r>
      <w:r w:rsidRPr="00874A27">
        <w:rPr>
          <w:rFonts w:ascii="Arial" w:eastAsia="Times New Roman" w:hAnsi="Arial" w:cs="Arial"/>
          <w:color w:val="000000"/>
          <w:sz w:val="19"/>
          <w:szCs w:val="19"/>
          <w:lang w:eastAsia="fr-FR"/>
        </w:rPr>
        <w:br/>
        <w:t>« Si, lors de l'élaboration du plan de sauvegarde ou en cours d'exécution d'un tel plan, l'administrateur provisoire constate que des mesures du plan de sauvegarde sont en contradiction avec la mission qui lui est confiée par le juge, il en informe le représentant de l'Etat dans le département, le maire et le président de l'établissement public de coopération intercommunale compétent en matière d'habitat, qui peuvent soit modifier le plan de sauvegarde, soit demander au juge de modifier le contenu de la mission de l'administrateur provisoire.</w:t>
      </w:r>
      <w:r w:rsidRPr="00874A27">
        <w:rPr>
          <w:rFonts w:ascii="Arial" w:eastAsia="Times New Roman" w:hAnsi="Arial" w:cs="Arial"/>
          <w:color w:val="000000"/>
          <w:sz w:val="19"/>
          <w:szCs w:val="19"/>
          <w:lang w:eastAsia="fr-FR"/>
        </w:rPr>
        <w:br/>
        <w:t>« L'administrateur provisoire peut signer toute convention financière en vue de l'attribution de subventions publiques au syndicat des copropriétaires, dès lors que cette convention n'est pas contradictoire avec la mission qui lui est confiée.</w:t>
      </w:r>
      <w:r w:rsidRPr="00874A27">
        <w:rPr>
          <w:rFonts w:ascii="Arial" w:eastAsia="Times New Roman" w:hAnsi="Arial" w:cs="Arial"/>
          <w:color w:val="000000"/>
          <w:sz w:val="19"/>
          <w:szCs w:val="19"/>
          <w:lang w:eastAsia="fr-FR"/>
        </w:rPr>
        <w:br/>
        <w:t>« Art. 29-11. - I. ― Si la situation financière de la copropriété ne permet pas de réaliser les travaux nécessaires à la conservation et la mise en sécurité de l'immeuble, la protection des occupants, la préservation de leur santé et la réduction des charges de copropriété permettant son redressement financier, le juge peut placer l'immeuble sous administration provisoire renforcée :</w:t>
      </w:r>
      <w:r w:rsidRPr="00874A27">
        <w:rPr>
          <w:rFonts w:ascii="Arial" w:eastAsia="Times New Roman" w:hAnsi="Arial" w:cs="Arial"/>
          <w:color w:val="000000"/>
          <w:sz w:val="19"/>
          <w:szCs w:val="19"/>
          <w:lang w:eastAsia="fr-FR"/>
        </w:rPr>
        <w:br/>
        <w:t>« 1° Sur saisine du maire de la commune du lieu de situation, du président de l'établissement public de coopération intercommunale compétent en matière d'habitat ou du représentant de l'Etat dans le département ;</w:t>
      </w:r>
      <w:r w:rsidRPr="00874A27">
        <w:rPr>
          <w:rFonts w:ascii="Arial" w:eastAsia="Times New Roman" w:hAnsi="Arial" w:cs="Arial"/>
          <w:color w:val="000000"/>
          <w:sz w:val="19"/>
          <w:szCs w:val="19"/>
          <w:lang w:eastAsia="fr-FR"/>
        </w:rPr>
        <w:br/>
        <w:t>« 2° Ou sur saisine de l'administrateur provisoire déjà désigné en vertu de l'article 29-1.</w:t>
      </w:r>
      <w:r w:rsidRPr="00874A27">
        <w:rPr>
          <w:rFonts w:ascii="Arial" w:eastAsia="Times New Roman" w:hAnsi="Arial" w:cs="Arial"/>
          <w:color w:val="000000"/>
          <w:sz w:val="19"/>
          <w:szCs w:val="19"/>
          <w:lang w:eastAsia="fr-FR"/>
        </w:rPr>
        <w:br/>
        <w:t>« II. ― Dans le cadre du placement sous administration provisoire renforcée, le juge autorise l'administrateur provisoire, désigné en vertu de l'article 29-1, à conclure une convention à durée déterminée, au nom du syndicat des copropriétaires, avec un ou plusieurs opérateurs compétents en matière de maîtrise d'ouvrage de travaux et de mise au point de financement d'opération de travaux, qui peut être notamment l'un des organismes mentionnés aux articles </w:t>
      </w:r>
      <w:hyperlink r:id="rId270" w:history="1">
        <w:r w:rsidRPr="00874A27">
          <w:rPr>
            <w:rFonts w:ascii="Arial" w:eastAsia="Times New Roman" w:hAnsi="Arial" w:cs="Arial"/>
            <w:color w:val="336699"/>
            <w:sz w:val="19"/>
            <w:szCs w:val="19"/>
            <w:u w:val="single"/>
            <w:lang w:eastAsia="fr-FR"/>
          </w:rPr>
          <w:t>L. 321-14</w:t>
        </w:r>
      </w:hyperlink>
      <w:r w:rsidRPr="00874A27">
        <w:rPr>
          <w:rFonts w:ascii="Arial" w:eastAsia="Times New Roman" w:hAnsi="Arial" w:cs="Arial"/>
          <w:color w:val="000000"/>
          <w:sz w:val="19"/>
          <w:szCs w:val="19"/>
          <w:lang w:eastAsia="fr-FR"/>
        </w:rPr>
        <w:t>, </w:t>
      </w:r>
      <w:hyperlink r:id="rId271" w:history="1">
        <w:r w:rsidRPr="00874A27">
          <w:rPr>
            <w:rFonts w:ascii="Arial" w:eastAsia="Times New Roman" w:hAnsi="Arial" w:cs="Arial"/>
            <w:color w:val="336699"/>
            <w:sz w:val="19"/>
            <w:szCs w:val="19"/>
            <w:u w:val="single"/>
            <w:lang w:eastAsia="fr-FR"/>
          </w:rPr>
          <w:t>L. 321-29</w:t>
        </w:r>
      </w:hyperlink>
      <w:r w:rsidRPr="00874A27">
        <w:rPr>
          <w:rFonts w:ascii="Arial" w:eastAsia="Times New Roman" w:hAnsi="Arial" w:cs="Arial"/>
          <w:color w:val="000000"/>
          <w:sz w:val="19"/>
          <w:szCs w:val="19"/>
          <w:lang w:eastAsia="fr-FR"/>
        </w:rPr>
        <w:t> et </w:t>
      </w:r>
      <w:hyperlink r:id="rId272" w:history="1">
        <w:r w:rsidRPr="00874A27">
          <w:rPr>
            <w:rFonts w:ascii="Arial" w:eastAsia="Times New Roman" w:hAnsi="Arial" w:cs="Arial"/>
            <w:color w:val="336699"/>
            <w:sz w:val="19"/>
            <w:szCs w:val="19"/>
            <w:u w:val="single"/>
            <w:lang w:eastAsia="fr-FR"/>
          </w:rPr>
          <w:t>L. 326-1</w:t>
        </w:r>
      </w:hyperlink>
      <w:r w:rsidRPr="00874A27">
        <w:rPr>
          <w:rFonts w:ascii="Arial" w:eastAsia="Times New Roman" w:hAnsi="Arial" w:cs="Arial"/>
          <w:color w:val="000000"/>
          <w:sz w:val="19"/>
          <w:szCs w:val="19"/>
          <w:lang w:eastAsia="fr-FR"/>
        </w:rPr>
        <w:t> du code de l'urbanisme et aux articles </w:t>
      </w:r>
      <w:hyperlink r:id="rId273" w:history="1">
        <w:r w:rsidRPr="00874A27">
          <w:rPr>
            <w:rFonts w:ascii="Arial" w:eastAsia="Times New Roman" w:hAnsi="Arial" w:cs="Arial"/>
            <w:color w:val="336699"/>
            <w:sz w:val="19"/>
            <w:szCs w:val="19"/>
            <w:u w:val="single"/>
            <w:lang w:eastAsia="fr-FR"/>
          </w:rPr>
          <w:t>L. 411-2</w:t>
        </w:r>
      </w:hyperlink>
      <w:r w:rsidRPr="00874A27">
        <w:rPr>
          <w:rFonts w:ascii="Arial" w:eastAsia="Times New Roman" w:hAnsi="Arial" w:cs="Arial"/>
          <w:color w:val="000000"/>
          <w:sz w:val="19"/>
          <w:szCs w:val="19"/>
          <w:lang w:eastAsia="fr-FR"/>
        </w:rPr>
        <w:t> et </w:t>
      </w:r>
      <w:hyperlink r:id="rId274" w:history="1">
        <w:r w:rsidRPr="00874A27">
          <w:rPr>
            <w:rFonts w:ascii="Arial" w:eastAsia="Times New Roman" w:hAnsi="Arial" w:cs="Arial"/>
            <w:color w:val="336699"/>
            <w:sz w:val="19"/>
            <w:szCs w:val="19"/>
            <w:u w:val="single"/>
            <w:lang w:eastAsia="fr-FR"/>
          </w:rPr>
          <w:t>L. 481-2</w:t>
        </w:r>
      </w:hyperlink>
      <w:r w:rsidRPr="00874A27">
        <w:rPr>
          <w:rFonts w:ascii="Arial" w:eastAsia="Times New Roman" w:hAnsi="Arial" w:cs="Arial"/>
          <w:color w:val="000000"/>
          <w:sz w:val="19"/>
          <w:szCs w:val="19"/>
          <w:lang w:eastAsia="fr-FR"/>
        </w:rPr>
        <w:t> du code de la construction et de l'habitation.</w:t>
      </w:r>
      <w:r w:rsidRPr="00874A27">
        <w:rPr>
          <w:rFonts w:ascii="Arial" w:eastAsia="Times New Roman" w:hAnsi="Arial" w:cs="Arial"/>
          <w:color w:val="000000"/>
          <w:sz w:val="19"/>
          <w:szCs w:val="19"/>
          <w:lang w:eastAsia="fr-FR"/>
        </w:rPr>
        <w:br/>
        <w:t>« La décision du juge est notifiée aux parties intéressées ainsi qu'au maire de la commune du lieu de situation, au président de l'établissement public de coopération intercommunale compétent en matière d'habitat et au représentant de l'Etat dans le département.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III. ― L'administrateur provisoire peut confier à l'opérateur, par cette convention, toutes les missions concourant au redressement de la copropriété, notamment la maîtrise d'ouvrage d'un programme de travaux et la mise au point du financement de l'opération. Un décret précise les modalités de rémunération de l'opérateur à la charge des copropriétaires.</w:t>
      </w:r>
      <w:r w:rsidRPr="00874A27">
        <w:rPr>
          <w:rFonts w:ascii="Arial" w:eastAsia="Times New Roman" w:hAnsi="Arial" w:cs="Arial"/>
          <w:color w:val="000000"/>
          <w:sz w:val="19"/>
          <w:szCs w:val="19"/>
          <w:lang w:eastAsia="fr-FR"/>
        </w:rPr>
        <w:br/>
        <w:t>« Le juge homologue la convention conclue entre l'opérateur et l'administrateur provisoire.</w:t>
      </w:r>
      <w:r w:rsidRPr="00874A27">
        <w:rPr>
          <w:rFonts w:ascii="Arial" w:eastAsia="Times New Roman" w:hAnsi="Arial" w:cs="Arial"/>
          <w:color w:val="000000"/>
          <w:sz w:val="19"/>
          <w:szCs w:val="19"/>
          <w:lang w:eastAsia="fr-FR"/>
        </w:rPr>
        <w:br/>
        <w:t>« L'exécution de la convention peut se poursuivre même si la mission de l'administrateur provisoire est terminée. La convention prend fin à l'expiration du terme fixé par elle.</w:t>
      </w:r>
      <w:r w:rsidRPr="00874A27">
        <w:rPr>
          <w:rFonts w:ascii="Arial" w:eastAsia="Times New Roman" w:hAnsi="Arial" w:cs="Arial"/>
          <w:color w:val="000000"/>
          <w:sz w:val="19"/>
          <w:szCs w:val="19"/>
          <w:lang w:eastAsia="fr-FR"/>
        </w:rPr>
        <w:br/>
        <w:t>« IV. ― Le maire de la commune du lieu de situation de l'immeuble ou le président de l'établissement public de coopération intercommunale compétent en matière d'habitat peuvent engager à tout moment la procédure prévue à l'</w:t>
      </w:r>
      <w:hyperlink r:id="rId275" w:history="1">
        <w:r w:rsidRPr="00874A27">
          <w:rPr>
            <w:rFonts w:ascii="Arial" w:eastAsia="Times New Roman" w:hAnsi="Arial" w:cs="Arial"/>
            <w:color w:val="336699"/>
            <w:sz w:val="19"/>
            <w:szCs w:val="19"/>
            <w:u w:val="single"/>
            <w:lang w:eastAsia="fr-FR"/>
          </w:rPr>
          <w:t>article L. 615-6 du code de la construction et de l'habitation</w:t>
        </w:r>
      </w:hyperlink>
      <w:r w:rsidRPr="00874A27">
        <w:rPr>
          <w:rFonts w:ascii="Arial" w:eastAsia="Times New Roman" w:hAnsi="Arial" w:cs="Arial"/>
          <w:color w:val="000000"/>
          <w:sz w:val="19"/>
          <w:szCs w:val="19"/>
          <w:lang w:eastAsia="fr-FR"/>
        </w:rPr>
        <w:t>. La conclusion de la convention mentionnée au II du présent article est alors suspendue dans l'attente de la décision du juge, mais la mission de l'administrateur provisoire se poursuit dans les conditions prévues à l'article 29-1.</w:t>
      </w:r>
      <w:r w:rsidRPr="00874A27">
        <w:rPr>
          <w:rFonts w:ascii="Arial" w:eastAsia="Times New Roman" w:hAnsi="Arial" w:cs="Arial"/>
          <w:color w:val="000000"/>
          <w:sz w:val="19"/>
          <w:szCs w:val="19"/>
          <w:lang w:eastAsia="fr-FR"/>
        </w:rPr>
        <w:br/>
        <w:t>« Art. 29-12. - I. ― Lorsque la mission de l'opérateur mentionné au II de l'article 29-11 prévoit la réalisation d'une division du syndicat dans les conditions prévues à l'article 29-8, la convention mentionnée à l'article 29-11 prévoit la répartition de la rémunération de l'opérateur entre les syndicats ainsi créés. Chaque syndicat issu de cette division est subrogé, chacun pour ce qui le concerne, dans les droits et obligations conventionnelles du syndicat dissous selon les modalités prévues par la convention.</w:t>
      </w:r>
      <w:r w:rsidRPr="00874A27">
        <w:rPr>
          <w:rFonts w:ascii="Arial" w:eastAsia="Times New Roman" w:hAnsi="Arial" w:cs="Arial"/>
          <w:color w:val="000000"/>
          <w:sz w:val="19"/>
          <w:szCs w:val="19"/>
          <w:lang w:eastAsia="fr-FR"/>
        </w:rPr>
        <w:br/>
        <w:t>« II. ― La mission de l'opérateur ne peut prendre fin de façon anticipée que sur décision du juge. La convention prévoit obligatoirement les modalités d'indemnisation de l'opérateur qui a engagé des fonds pour la réalisation des travaux prévus par la convention en cas de résiliation anticipée prononcée par le juge.</w:t>
      </w:r>
      <w:r w:rsidRPr="00874A27">
        <w:rPr>
          <w:rFonts w:ascii="Arial" w:eastAsia="Times New Roman" w:hAnsi="Arial" w:cs="Arial"/>
          <w:color w:val="000000"/>
          <w:sz w:val="19"/>
          <w:szCs w:val="19"/>
          <w:lang w:eastAsia="fr-FR"/>
        </w:rPr>
        <w:br/>
        <w:t>« III. ― Le juge, saisi par des copropriétaires représentant 15 % des voix, peut autoriser l'administrateur provisoire à inclure dans le contrat de l'opérateur la réalisation de travaux d'amélioration.</w:t>
      </w:r>
      <w:r w:rsidRPr="00874A27">
        <w:rPr>
          <w:rFonts w:ascii="Arial" w:eastAsia="Times New Roman" w:hAnsi="Arial" w:cs="Arial"/>
          <w:color w:val="000000"/>
          <w:sz w:val="19"/>
          <w:szCs w:val="19"/>
          <w:lang w:eastAsia="fr-FR"/>
        </w:rPr>
        <w:br/>
        <w:t>« IV. ― Si la mission de l'administrateur provisoire est terminée et la copropriété financièrement redressée, le juge peut autoriser le syndic à conclure un avenant à la convention en cours, après approbation des travaux supplémentaires par l'assemblée générale des copropriétaires statuant dans les conditions de majorité prévues par la présente loi.</w:t>
      </w:r>
      <w:r w:rsidRPr="00874A27">
        <w:rPr>
          <w:rFonts w:ascii="Arial" w:eastAsia="Times New Roman" w:hAnsi="Arial" w:cs="Arial"/>
          <w:color w:val="000000"/>
          <w:sz w:val="19"/>
          <w:szCs w:val="19"/>
          <w:lang w:eastAsia="fr-FR"/>
        </w:rPr>
        <w:br/>
        <w:t>« Art. 29-13. - Pour les propriétaires occupants, la rémunération de l'opérateur prévue à l'article 29-11 ouvre droit aux allocations de logement prévues aux articles </w:t>
      </w:r>
      <w:hyperlink r:id="rId276" w:history="1">
        <w:r w:rsidRPr="00874A27">
          <w:rPr>
            <w:rFonts w:ascii="Arial" w:eastAsia="Times New Roman" w:hAnsi="Arial" w:cs="Arial"/>
            <w:color w:val="336699"/>
            <w:sz w:val="19"/>
            <w:szCs w:val="19"/>
            <w:u w:val="single"/>
            <w:lang w:eastAsia="fr-FR"/>
          </w:rPr>
          <w:t>L. 542-1 à L. 542-9</w:t>
        </w:r>
      </w:hyperlink>
      <w:r w:rsidRPr="00874A27">
        <w:rPr>
          <w:rFonts w:ascii="Arial" w:eastAsia="Times New Roman" w:hAnsi="Arial" w:cs="Arial"/>
          <w:color w:val="000000"/>
          <w:sz w:val="19"/>
          <w:szCs w:val="19"/>
          <w:lang w:eastAsia="fr-FR"/>
        </w:rPr>
        <w:t> et </w:t>
      </w:r>
      <w:hyperlink r:id="rId277" w:history="1">
        <w:r w:rsidRPr="00874A27">
          <w:rPr>
            <w:rFonts w:ascii="Arial" w:eastAsia="Times New Roman" w:hAnsi="Arial" w:cs="Arial"/>
            <w:color w:val="336699"/>
            <w:sz w:val="19"/>
            <w:szCs w:val="19"/>
            <w:u w:val="single"/>
            <w:lang w:eastAsia="fr-FR"/>
          </w:rPr>
          <w:t>L. 831-1 à L. 835-7</w:t>
        </w:r>
      </w:hyperlink>
      <w:r w:rsidRPr="00874A27">
        <w:rPr>
          <w:rFonts w:ascii="Arial" w:eastAsia="Times New Roman" w:hAnsi="Arial" w:cs="Arial"/>
          <w:color w:val="000000"/>
          <w:sz w:val="19"/>
          <w:szCs w:val="19"/>
          <w:lang w:eastAsia="fr-FR"/>
        </w:rPr>
        <w:t> du code de la sécurité sociale.</w:t>
      </w:r>
      <w:r w:rsidRPr="00874A27">
        <w:rPr>
          <w:rFonts w:ascii="Arial" w:eastAsia="Times New Roman" w:hAnsi="Arial" w:cs="Arial"/>
          <w:color w:val="000000"/>
          <w:sz w:val="19"/>
          <w:szCs w:val="19"/>
          <w:lang w:eastAsia="fr-FR"/>
        </w:rPr>
        <w:br/>
        <w:t>« Art. 29-14. - Le juge peut :</w:t>
      </w:r>
      <w:r w:rsidRPr="00874A27">
        <w:rPr>
          <w:rFonts w:ascii="Arial" w:eastAsia="Times New Roman" w:hAnsi="Arial" w:cs="Arial"/>
          <w:color w:val="000000"/>
          <w:sz w:val="19"/>
          <w:szCs w:val="19"/>
          <w:lang w:eastAsia="fr-FR"/>
        </w:rPr>
        <w:br/>
        <w:t>« 1° Suspendre le versement des cotisations au fonds de travaux sur demande de l'administrateur provisoire ou des copropriétaires représentant au moins 15 % des voix lorsque l'immeuble fait l'objet d'un plan de sauvegarde en application de l'</w:t>
      </w:r>
      <w:hyperlink r:id="rId278" w:history="1">
        <w:r w:rsidRPr="00874A27">
          <w:rPr>
            <w:rFonts w:ascii="Arial" w:eastAsia="Times New Roman" w:hAnsi="Arial" w:cs="Arial"/>
            <w:color w:val="336699"/>
            <w:sz w:val="19"/>
            <w:szCs w:val="19"/>
            <w:u w:val="single"/>
            <w:lang w:eastAsia="fr-FR"/>
          </w:rPr>
          <w:t>article L. 615-1 du code de la construction et de l'habitation</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 2° Autoriser l'administrateur provisoire à utiliser les sommes déposées sur le fonds de travaux pour engager les actions nécessaires au redressement de la copropriété ou permettre le maintien de la gestion courante.</w:t>
      </w:r>
      <w:r w:rsidRPr="00874A27">
        <w:rPr>
          <w:rFonts w:ascii="Arial" w:eastAsia="Times New Roman" w:hAnsi="Arial" w:cs="Arial"/>
          <w:color w:val="000000"/>
          <w:sz w:val="19"/>
          <w:szCs w:val="19"/>
          <w:lang w:eastAsia="fr-FR"/>
        </w:rPr>
        <w:br/>
        <w:t>« Art. 29-15. - Les procédures prévues au livre VI du code de commerce ne sont pas applicables aux syndicats de copropriétaires. »</w:t>
      </w:r>
      <w:r w:rsidRPr="00874A27">
        <w:rPr>
          <w:rFonts w:ascii="Arial" w:eastAsia="Times New Roman" w:hAnsi="Arial" w:cs="Arial"/>
          <w:color w:val="000000"/>
          <w:sz w:val="19"/>
          <w:szCs w:val="19"/>
          <w:lang w:eastAsia="fr-FR"/>
        </w:rPr>
        <w:br/>
        <w:t>II. ― Le code de la sécurité sociale est ainsi modifié :</w:t>
      </w:r>
      <w:r w:rsidRPr="00874A27">
        <w:rPr>
          <w:rFonts w:ascii="Arial" w:eastAsia="Times New Roman" w:hAnsi="Arial" w:cs="Arial"/>
          <w:color w:val="000000"/>
          <w:sz w:val="19"/>
          <w:szCs w:val="19"/>
          <w:lang w:eastAsia="fr-FR"/>
        </w:rPr>
        <w:br/>
        <w:t>1° Le 1° de l'article L. 542-2 est complété par les mots : « , ainsi que la rémunération de l'opérateur mentionnée au III de l'article 29-11 de la loi n° 65-557 du 10 juillet 1965 fixant le statut de la copropriété des immeubles bâtis » ;</w:t>
      </w:r>
      <w:r w:rsidRPr="00874A27">
        <w:rPr>
          <w:rFonts w:ascii="Arial" w:eastAsia="Times New Roman" w:hAnsi="Arial" w:cs="Arial"/>
          <w:color w:val="000000"/>
          <w:sz w:val="19"/>
          <w:szCs w:val="19"/>
          <w:lang w:eastAsia="fr-FR"/>
        </w:rPr>
        <w:br/>
        <w:t>2° La seconde phrase du premier alinéa de l'article L. 831-1 est complétée par les mots : « , ainsi que la rémunération de l'opérateur mentionnée au III de l'article 29-11 de la loi n° 65-557 du 10 juillet 1965 fixant le statut de la copropriété des immeubles bâtis ».</w:t>
      </w:r>
      <w:r w:rsidRPr="00874A27">
        <w:rPr>
          <w:rFonts w:ascii="Arial" w:eastAsia="Times New Roman" w:hAnsi="Arial" w:cs="Arial"/>
          <w:color w:val="000000"/>
          <w:sz w:val="19"/>
          <w:szCs w:val="19"/>
          <w:lang w:eastAsia="fr-FR"/>
        </w:rPr>
        <w:br/>
        <w:t>III. ― Le II entre en vigueur le 1er janvier 2015.</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3 : Permettre la requalification des copropriétés très dégradées</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64" w:name="JORFARTI000028773730"/>
      <w:bookmarkEnd w:id="64"/>
      <w:r w:rsidRPr="00874A27">
        <w:rPr>
          <w:rFonts w:ascii="Arial" w:eastAsia="Times New Roman" w:hAnsi="Arial" w:cs="Arial"/>
          <w:b/>
          <w:bCs/>
          <w:color w:val="000000"/>
          <w:sz w:val="23"/>
          <w:szCs w:val="23"/>
          <w:lang w:eastAsia="fr-FR"/>
        </w:rPr>
        <w:t>Article 65 </w:t>
      </w:r>
      <w:hyperlink r:id="rId279" w:tooltip="En savoir plus sur l'article 6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livre VII du code de la construction et de l'habitation, tel qu'il résulte des articles 52, 54 et 58 de la présente loi, est complété par un titre IV 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 TITRE IV</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TRAITEMENT DES DIFFICULTÉS</w:t>
      </w:r>
      <w:r w:rsidRPr="00874A27">
        <w:rPr>
          <w:rFonts w:ascii="Arial" w:eastAsia="Times New Roman" w:hAnsi="Arial" w:cs="Arial"/>
          <w:color w:val="000000"/>
          <w:sz w:val="19"/>
          <w:szCs w:val="19"/>
          <w:lang w:eastAsia="fr-FR"/>
        </w:rPr>
        <w:br/>
        <w:t>DES COPROPRIÉTÉS DÉGRADÉES</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unique</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Opérations de requalification</w:t>
      </w:r>
      <w:r w:rsidRPr="00874A27">
        <w:rPr>
          <w:rFonts w:ascii="Arial" w:eastAsia="Times New Roman" w:hAnsi="Arial" w:cs="Arial"/>
          <w:color w:val="000000"/>
          <w:sz w:val="19"/>
          <w:szCs w:val="19"/>
          <w:lang w:eastAsia="fr-FR"/>
        </w:rPr>
        <w:br/>
        <w:t>des copropriétés dégradées</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741-1. - Des opérations de requalification des copropriétés dégradées peuvent être mises en place par l'Etat, les collectivités territoriales ou leurs groupements pour lutter contre l'indignité et la dégradation des immeubles en copropriété.</w:t>
      </w:r>
      <w:r w:rsidRPr="00874A27">
        <w:rPr>
          <w:rFonts w:ascii="Arial" w:eastAsia="Times New Roman" w:hAnsi="Arial" w:cs="Arial"/>
          <w:color w:val="000000"/>
          <w:sz w:val="19"/>
          <w:szCs w:val="19"/>
          <w:lang w:eastAsia="fr-FR"/>
        </w:rPr>
        <w:br/>
        <w:t>« Ces opérations sont menées sur un périmètre défini par l'Etat, les collectivités territoriales ou leurs groupements dans le cadre d'un projet urbain et social pour le territoire concerné ou d'une politique locale de l'habitat.</w:t>
      </w:r>
      <w:r w:rsidRPr="00874A27">
        <w:rPr>
          <w:rFonts w:ascii="Arial" w:eastAsia="Times New Roman" w:hAnsi="Arial" w:cs="Arial"/>
          <w:color w:val="000000"/>
          <w:sz w:val="19"/>
          <w:szCs w:val="19"/>
          <w:lang w:eastAsia="fr-FR"/>
        </w:rPr>
        <w:br/>
        <w:t>« Chaque opération fait l'objet d'une convention entre personnes publiques, dont, le cas échéant, l'opérateur chargé de la mise en œuvre est signataire, qui prévoit tout ou partie des actions suivantes :</w:t>
      </w:r>
      <w:r w:rsidRPr="00874A27">
        <w:rPr>
          <w:rFonts w:ascii="Arial" w:eastAsia="Times New Roman" w:hAnsi="Arial" w:cs="Arial"/>
          <w:color w:val="000000"/>
          <w:sz w:val="19"/>
          <w:szCs w:val="19"/>
          <w:lang w:eastAsia="fr-FR"/>
        </w:rPr>
        <w:br/>
        <w:t>« 1° Un dispositif d'intervention immobilière et foncière, incluant des actions d'acquisition, de travaux et de portage de lots de copropriété ;</w:t>
      </w:r>
      <w:r w:rsidRPr="00874A27">
        <w:rPr>
          <w:rFonts w:ascii="Arial" w:eastAsia="Times New Roman" w:hAnsi="Arial" w:cs="Arial"/>
          <w:color w:val="000000"/>
          <w:sz w:val="19"/>
          <w:szCs w:val="19"/>
          <w:lang w:eastAsia="fr-FR"/>
        </w:rPr>
        <w:br/>
        <w:t>« 2° Un plan de relogement et d'accompagnement social des occupants ;</w:t>
      </w:r>
      <w:r w:rsidRPr="00874A27">
        <w:rPr>
          <w:rFonts w:ascii="Arial" w:eastAsia="Times New Roman" w:hAnsi="Arial" w:cs="Arial"/>
          <w:color w:val="000000"/>
          <w:sz w:val="19"/>
          <w:szCs w:val="19"/>
          <w:lang w:eastAsia="fr-FR"/>
        </w:rPr>
        <w:br/>
        <w:t>« 3° La mobilisation des dispositifs coercitifs de lutte contre l'habitat indigne ;</w:t>
      </w:r>
      <w:r w:rsidRPr="00874A27">
        <w:rPr>
          <w:rFonts w:ascii="Arial" w:eastAsia="Times New Roman" w:hAnsi="Arial" w:cs="Arial"/>
          <w:color w:val="000000"/>
          <w:sz w:val="19"/>
          <w:szCs w:val="19"/>
          <w:lang w:eastAsia="fr-FR"/>
        </w:rPr>
        <w:br/>
        <w:t>« 4° La mise en œuvre des actions prévues à l'article L. 303-1 ;</w:t>
      </w:r>
      <w:r w:rsidRPr="00874A27">
        <w:rPr>
          <w:rFonts w:ascii="Arial" w:eastAsia="Times New Roman" w:hAnsi="Arial" w:cs="Arial"/>
          <w:color w:val="000000"/>
          <w:sz w:val="19"/>
          <w:szCs w:val="19"/>
          <w:lang w:eastAsia="fr-FR"/>
        </w:rPr>
        <w:br/>
        <w:t>« 5° Le cas échéant, la mise en œuvre d'un plan de sauvegarde prévu à l'article L. 615-1 du présent code ainsi que de la procédure d'administration provisoire renforcée prévue à l'article 29-11 de la loi n° 65-557 du 10 juillet 1965 fixant le statut de la copropriété des immeubles bâtis ;</w:t>
      </w:r>
      <w:r w:rsidRPr="00874A27">
        <w:rPr>
          <w:rFonts w:ascii="Arial" w:eastAsia="Times New Roman" w:hAnsi="Arial" w:cs="Arial"/>
          <w:color w:val="000000"/>
          <w:sz w:val="19"/>
          <w:szCs w:val="19"/>
          <w:lang w:eastAsia="fr-FR"/>
        </w:rPr>
        <w:br/>
        <w:t>« 6° La mise en œuvre d'actions ou d'opérations d'aménagement, au sens de l'</w:t>
      </w:r>
      <w:hyperlink r:id="rId280" w:history="1">
        <w:r w:rsidRPr="00874A27">
          <w:rPr>
            <w:rFonts w:ascii="Arial" w:eastAsia="Times New Roman" w:hAnsi="Arial" w:cs="Arial"/>
            <w:color w:val="336699"/>
            <w:sz w:val="19"/>
            <w:szCs w:val="19"/>
            <w:u w:val="single"/>
            <w:lang w:eastAsia="fr-FR"/>
          </w:rPr>
          <w:t>article L. 300-1 du code de l'urbanisme</w:t>
        </w:r>
      </w:hyperlink>
      <w:r w:rsidRPr="00874A27">
        <w:rPr>
          <w:rFonts w:ascii="Arial" w:eastAsia="Times New Roman" w:hAnsi="Arial" w:cs="Arial"/>
          <w:color w:val="000000"/>
          <w:sz w:val="19"/>
          <w:szCs w:val="19"/>
          <w:lang w:eastAsia="fr-FR"/>
        </w:rPr>
        <w:t>, intégrant les objectifs de l'opération ;</w:t>
      </w:r>
      <w:r w:rsidRPr="00874A27">
        <w:rPr>
          <w:rFonts w:ascii="Arial" w:eastAsia="Times New Roman" w:hAnsi="Arial" w:cs="Arial"/>
          <w:color w:val="000000"/>
          <w:sz w:val="19"/>
          <w:szCs w:val="19"/>
          <w:lang w:eastAsia="fr-FR"/>
        </w:rPr>
        <w:br/>
        <w:t>« L'opération de requalification de copropriétés peut donner lieu à l'instauration du droit de préemption urbain renforcé prévu à l'article L. 211-4 du même code. L'instauration du droit de préemption urbain renforcé peut être assortie de l'obligation de joindre un rapport relatif à la salubrité et à la sécurité du bien établi par les autorités compétentes et transmis selon les modalités prévues à l'article L. 213-2 dudit code. Pour obtenir la réalisation de ce rapport, le vendeur peut se prévaloir des dispositions de l'article 25-1 A de la loi n° 2000-321 du 12 avril 2000 relative aux droits des citoyens dans leurs relations avec les administrations.</w:t>
      </w:r>
      <w:r w:rsidRPr="00874A27">
        <w:rPr>
          <w:rFonts w:ascii="Arial" w:eastAsia="Times New Roman" w:hAnsi="Arial" w:cs="Arial"/>
          <w:color w:val="000000"/>
          <w:sz w:val="19"/>
          <w:szCs w:val="19"/>
          <w:lang w:eastAsia="fr-FR"/>
        </w:rPr>
        <w:br/>
        <w:t>« Art. L. 741-2. - L'Etat peut déclarer d'intérêt national, au sens de l'</w:t>
      </w:r>
      <w:hyperlink r:id="rId281" w:history="1">
        <w:r w:rsidRPr="00874A27">
          <w:rPr>
            <w:rFonts w:ascii="Arial" w:eastAsia="Times New Roman" w:hAnsi="Arial" w:cs="Arial"/>
            <w:color w:val="336699"/>
            <w:sz w:val="19"/>
            <w:szCs w:val="19"/>
            <w:u w:val="single"/>
            <w:lang w:eastAsia="fr-FR"/>
          </w:rPr>
          <w:t>article L. 121-2 du code de l'urbanisme</w:t>
        </w:r>
      </w:hyperlink>
      <w:r w:rsidRPr="00874A27">
        <w:rPr>
          <w:rFonts w:ascii="Arial" w:eastAsia="Times New Roman" w:hAnsi="Arial" w:cs="Arial"/>
          <w:color w:val="000000"/>
          <w:sz w:val="19"/>
          <w:szCs w:val="19"/>
          <w:lang w:eastAsia="fr-FR"/>
        </w:rPr>
        <w:t>, une opération de requalification de copropriétés dégradées, dont il définit le périmètre par décret en Conseil d'Etat, si l'opération de requalification présente des enjeux majeurs en matière d'habitat dégradé, une complexité de traitement particulière et nécessite de lourds investissements, si le site comporte une ou plusieurs copropriétés bénéficiant d'un plan de sauvegarde défini à l'article L. 615-1 du présent code et si le droit de préemption urbain renforcé assorti de l'obligation mentionnée au dernier alinéa de l'article L. 741-1 a été instauré et que la commune s'est engagée formellement à le déléguer à l'opérateur chargé de la mise en œuvre de l'opération d'intérêt national. Le décret en Conseil d'Etat est pris après avis du représentant de l'Etat dans la région et consultation des communes ainsi que, le cas échéant, des établissements publics de coopération intercommunale compétents en matière d'habitat concernés.</w:t>
      </w:r>
      <w:r w:rsidRPr="00874A27">
        <w:rPr>
          <w:rFonts w:ascii="Arial" w:eastAsia="Times New Roman" w:hAnsi="Arial" w:cs="Arial"/>
          <w:color w:val="000000"/>
          <w:sz w:val="19"/>
          <w:szCs w:val="19"/>
          <w:lang w:eastAsia="fr-FR"/>
        </w:rPr>
        <w:br/>
        <w:t>« Pour assurer le relogement, à titre temporaire ou définitif, des occupants des logements dans les copropriétés situées dans le périmètre des opérations d'intérêt national mentionnées au premier alinéa du présent article, sur proposition de l'établissement public chargé de réaliser l'opération, le représentant de l'Etat dans le département peut user des prérogatives qu'il tient de l'article L. 441-2-3, de même que le maire et le président de l'établissement public de coopération intercommunale, signataires de la convention prévue à l'article L. 741-1, de celles qu'ils tiennent des troisième et quatrième alinéas de l'article L. 521-3-3.</w:t>
      </w:r>
      <w:r w:rsidRPr="00874A27">
        <w:rPr>
          <w:rFonts w:ascii="Arial" w:eastAsia="Times New Roman" w:hAnsi="Arial" w:cs="Arial"/>
          <w:color w:val="000000"/>
          <w:sz w:val="19"/>
          <w:szCs w:val="19"/>
          <w:lang w:eastAsia="fr-FR"/>
        </w:rPr>
        <w:br/>
        <w:t xml:space="preserve">« Afin de faciliter la mise en œuvre des dispositifs coercitifs de lutte contre l'habitat indigne prévus au 3° de l'article L. 741-1, lorsque l'établissement public foncier chargé de conduire l'opération mentionnée au premier alinéa du présent article effectue un signalement auprès des personnes publiques disposant des prérogatives de police spéciale dans le cadre des actions d'acquisition, qui lui sont confiées en vertu du 1° de l'article L. 741-1, concernant un immeuble ou un logement situés dans le périmètre de l'opération, le déplacement d'un agent assermenté pour établir un rapport doit </w:t>
      </w:r>
      <w:r w:rsidRPr="00874A27">
        <w:rPr>
          <w:rFonts w:ascii="Arial" w:eastAsia="Times New Roman" w:hAnsi="Arial" w:cs="Arial"/>
          <w:color w:val="000000"/>
          <w:sz w:val="19"/>
          <w:szCs w:val="19"/>
          <w:lang w:eastAsia="fr-FR"/>
        </w:rPr>
        <w:lastRenderedPageBreak/>
        <w:t>intervenir dans un délai d'un mois à compter du signalement. »</w:t>
      </w:r>
      <w:r w:rsidRPr="00874A27">
        <w:rPr>
          <w:rFonts w:ascii="Arial" w:eastAsia="Times New Roman" w:hAnsi="Arial" w:cs="Arial"/>
          <w:color w:val="000000"/>
          <w:sz w:val="19"/>
          <w:szCs w:val="19"/>
          <w:lang w:eastAsia="fr-FR"/>
        </w:rPr>
        <w:br/>
        <w:t>II. ― Le premier alinéa de l'article L. 213-2 du code de l'urbanisme est complété par une phrase ainsi rédigée :</w:t>
      </w:r>
      <w:r w:rsidRPr="00874A27">
        <w:rPr>
          <w:rFonts w:ascii="Arial" w:eastAsia="Times New Roman" w:hAnsi="Arial" w:cs="Arial"/>
          <w:color w:val="000000"/>
          <w:sz w:val="19"/>
          <w:szCs w:val="19"/>
          <w:lang w:eastAsia="fr-FR"/>
        </w:rPr>
        <w:br/>
        <w:t>« Le cas échéant, cette déclaration comporte également les informations dues au titre de l'article L. 741-1 du code de la construction et de l'habitation.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65" w:name="JORFARTI000028773743"/>
      <w:bookmarkEnd w:id="65"/>
      <w:r w:rsidRPr="00874A27">
        <w:rPr>
          <w:rFonts w:ascii="Arial" w:eastAsia="Times New Roman" w:hAnsi="Arial" w:cs="Arial"/>
          <w:b/>
          <w:bCs/>
          <w:color w:val="000000"/>
          <w:sz w:val="23"/>
          <w:szCs w:val="23"/>
          <w:lang w:eastAsia="fr-FR"/>
        </w:rPr>
        <w:t>Article 66 </w:t>
      </w:r>
      <w:hyperlink r:id="rId282" w:tooltip="En savoir plus sur l'article 6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titre II du livre III du code de l'urbanisme est ainsi modifié :</w:t>
      </w:r>
      <w:r w:rsidRPr="00874A27">
        <w:rPr>
          <w:rFonts w:ascii="Arial" w:eastAsia="Times New Roman" w:hAnsi="Arial" w:cs="Arial"/>
          <w:color w:val="000000"/>
          <w:sz w:val="19"/>
          <w:szCs w:val="19"/>
          <w:lang w:eastAsia="fr-FR"/>
        </w:rPr>
        <w:br/>
        <w:t>1° Après l'article L. 321-1, il est inséré un article L. 321-1-1 ainsi rédigé :</w:t>
      </w:r>
      <w:r w:rsidRPr="00874A27">
        <w:rPr>
          <w:rFonts w:ascii="Arial" w:eastAsia="Times New Roman" w:hAnsi="Arial" w:cs="Arial"/>
          <w:color w:val="000000"/>
          <w:sz w:val="19"/>
          <w:szCs w:val="19"/>
          <w:lang w:eastAsia="fr-FR"/>
        </w:rPr>
        <w:br/>
        <w:t>« Art. L. 321-1-1. - Nonobstant les missions définies à l'article L. 321-1, l'Etat peut confier par décret en Conseil d'Etat, en application de l'article L. 741-2 du code de la construction et de l'habitation, à un établissement public foncier la conduite d'une opération de requalification de copropriétés dégradées d'intérêt national, après avis de son conseil d'administration. L'avis est réputé favorable en l'absence de réponse dans un délai de trois mois.</w:t>
      </w:r>
      <w:r w:rsidRPr="00874A27">
        <w:rPr>
          <w:rFonts w:ascii="Arial" w:eastAsia="Times New Roman" w:hAnsi="Arial" w:cs="Arial"/>
          <w:color w:val="000000"/>
          <w:sz w:val="19"/>
          <w:szCs w:val="19"/>
          <w:lang w:eastAsia="fr-FR"/>
        </w:rPr>
        <w:br/>
        <w:t>« La conduite de l'opération mentionnée au premier alinéa du présent article comporte :</w:t>
      </w:r>
      <w:r w:rsidRPr="00874A27">
        <w:rPr>
          <w:rFonts w:ascii="Arial" w:eastAsia="Times New Roman" w:hAnsi="Arial" w:cs="Arial"/>
          <w:color w:val="000000"/>
          <w:sz w:val="19"/>
          <w:szCs w:val="19"/>
          <w:lang w:eastAsia="fr-FR"/>
        </w:rPr>
        <w:br/>
        <w:t>« 1° La coordination des actions des personnes publiques signataires de la convention mentionnée à l'article L. 741-1 du code de la construction et de l'habitation ainsi que la préparation de ladite convention ;</w:t>
      </w:r>
      <w:r w:rsidRPr="00874A27">
        <w:rPr>
          <w:rFonts w:ascii="Arial" w:eastAsia="Times New Roman" w:hAnsi="Arial" w:cs="Arial"/>
          <w:color w:val="000000"/>
          <w:sz w:val="19"/>
          <w:szCs w:val="19"/>
          <w:lang w:eastAsia="fr-FR"/>
        </w:rPr>
        <w:br/>
        <w:t>« 2° La réalisation de tout ou partie des actions mentionnées aux 1°, 4°, 5° et 6° du même article L. 741-1.</w:t>
      </w:r>
      <w:r w:rsidRPr="00874A27">
        <w:rPr>
          <w:rFonts w:ascii="Arial" w:eastAsia="Times New Roman" w:hAnsi="Arial" w:cs="Arial"/>
          <w:color w:val="000000"/>
          <w:sz w:val="19"/>
          <w:szCs w:val="19"/>
          <w:lang w:eastAsia="fr-FR"/>
        </w:rPr>
        <w:br/>
        <w:t>« Pour conduire une opération de requalification de copropriétés dégradées d'intérêt national, l'établissement public foncier d'Ile-de-France peut bénéficier du concours de l'Agence foncière et technique de la région parisienne mentionnée à l'article L. 321-29 du présent code, selon des modalités fixées par convention entre les deux établissements. » ;</w:t>
      </w:r>
      <w:r w:rsidRPr="00874A27">
        <w:rPr>
          <w:rFonts w:ascii="Arial" w:eastAsia="Times New Roman" w:hAnsi="Arial" w:cs="Arial"/>
          <w:color w:val="000000"/>
          <w:sz w:val="19"/>
          <w:szCs w:val="19"/>
          <w:lang w:eastAsia="fr-FR"/>
        </w:rPr>
        <w:br/>
        <w:t>2° Après le 3° de l'article L. 321-29, il est inséré un alinéa ainsi rédigé :</w:t>
      </w:r>
      <w:r w:rsidRPr="00874A27">
        <w:rPr>
          <w:rFonts w:ascii="Arial" w:eastAsia="Times New Roman" w:hAnsi="Arial" w:cs="Arial"/>
          <w:color w:val="000000"/>
          <w:sz w:val="19"/>
          <w:szCs w:val="19"/>
          <w:lang w:eastAsia="fr-FR"/>
        </w:rPr>
        <w:br/>
        <w:t>« Elle peut mener des opérations de requalification des copropriétés dégradées mentionnées à l'article L. 741-1 du code de la construction et de l'habitation ou apporter son concours à l'établissement public foncier d'Ile-de-France pour la réalisation d'opérations de requalification des copropriétés dégradées d'intérêt national. » ;</w:t>
      </w:r>
      <w:r w:rsidRPr="00874A27">
        <w:rPr>
          <w:rFonts w:ascii="Arial" w:eastAsia="Times New Roman" w:hAnsi="Arial" w:cs="Arial"/>
          <w:color w:val="000000"/>
          <w:sz w:val="19"/>
          <w:szCs w:val="19"/>
          <w:lang w:eastAsia="fr-FR"/>
        </w:rPr>
        <w:br/>
        <w:t>3° A la deuxième phrase du troisième alinéa de l'article L. 327-1, après le mot : « pour », sont insérés les mots : « réaliser les opérations de requalification de copropriétés dégradées prévues à l'article L. 741-1 du code de la construction et de l'habitation,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66" w:name="JORFARTI000028773754"/>
      <w:bookmarkEnd w:id="66"/>
      <w:r w:rsidRPr="00874A27">
        <w:rPr>
          <w:rFonts w:ascii="Arial" w:eastAsia="Times New Roman" w:hAnsi="Arial" w:cs="Arial"/>
          <w:b/>
          <w:bCs/>
          <w:color w:val="000000"/>
          <w:sz w:val="23"/>
          <w:szCs w:val="23"/>
          <w:lang w:eastAsia="fr-FR"/>
        </w:rPr>
        <w:t>Article 67 </w:t>
      </w:r>
      <w:hyperlink r:id="rId283" w:tooltip="En savoir plus sur l'article 6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1607 ter du code général des impôts est ainsi modifié :</w:t>
      </w:r>
      <w:r w:rsidRPr="00874A27">
        <w:rPr>
          <w:rFonts w:ascii="Arial" w:eastAsia="Times New Roman" w:hAnsi="Arial" w:cs="Arial"/>
          <w:color w:val="000000"/>
          <w:sz w:val="19"/>
          <w:szCs w:val="19"/>
          <w:lang w:eastAsia="fr-FR"/>
        </w:rPr>
        <w:br/>
        <w:t>1° Le premier alinéa est complété par les mots : « et immobilières ainsi qu'au financement de leurs interventions dans le cadre des opérations de requalification de copropriétés dégradées d'intérêt national qui leur sont confiées, par décret en Conseil d'Etat, selon les modalités prévues par l'article L. 321-1-1 du code de l'urbanisme. » ;</w:t>
      </w:r>
      <w:r w:rsidRPr="00874A27">
        <w:rPr>
          <w:rFonts w:ascii="Arial" w:eastAsia="Times New Roman" w:hAnsi="Arial" w:cs="Arial"/>
          <w:color w:val="000000"/>
          <w:sz w:val="19"/>
          <w:szCs w:val="19"/>
          <w:lang w:eastAsia="fr-FR"/>
        </w:rPr>
        <w:br/>
        <w:t>2° Après la première phrase du deuxième alinéa, est insérée une phrase ainsi rédigée :</w:t>
      </w:r>
      <w:r w:rsidRPr="00874A27">
        <w:rPr>
          <w:rFonts w:ascii="Arial" w:eastAsia="Times New Roman" w:hAnsi="Arial" w:cs="Arial"/>
          <w:color w:val="000000"/>
          <w:sz w:val="19"/>
          <w:szCs w:val="19"/>
          <w:lang w:eastAsia="fr-FR"/>
        </w:rPr>
        <w:br/>
        <w:t>« Une partie de ce produit peut être consacrée au financement des opérations d'intérêt national de requalification de copropriétés dégradées qui leur sont confiées par décret en Conseil d'Etat selon les modalités prévues au même article L. 321-1-1, dans la limite de 5 € par habitant.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67" w:name="JORFARTI000028773759"/>
      <w:bookmarkEnd w:id="67"/>
      <w:r w:rsidRPr="00874A27">
        <w:rPr>
          <w:rFonts w:ascii="Arial" w:eastAsia="Times New Roman" w:hAnsi="Arial" w:cs="Arial"/>
          <w:b/>
          <w:bCs/>
          <w:color w:val="000000"/>
          <w:sz w:val="23"/>
          <w:szCs w:val="23"/>
          <w:lang w:eastAsia="fr-FR"/>
        </w:rPr>
        <w:t>Article 68 </w:t>
      </w:r>
      <w:hyperlink r:id="rId284" w:tooltip="En savoir plus sur l'article 6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chapitre II du titre V du livre II du code de la construction et de l'habitation est ainsi modifié :</w:t>
      </w:r>
      <w:r w:rsidRPr="00874A27">
        <w:rPr>
          <w:rFonts w:ascii="Arial" w:eastAsia="Times New Roman" w:hAnsi="Arial" w:cs="Arial"/>
          <w:color w:val="000000"/>
          <w:sz w:val="19"/>
          <w:szCs w:val="19"/>
          <w:lang w:eastAsia="fr-FR"/>
        </w:rPr>
        <w:br/>
        <w:t>1° L'article L. 252-1 est complété par un alinéa ainsi rédigé :</w:t>
      </w:r>
      <w:r w:rsidRPr="00874A27">
        <w:rPr>
          <w:rFonts w:ascii="Arial" w:eastAsia="Times New Roman" w:hAnsi="Arial" w:cs="Arial"/>
          <w:color w:val="000000"/>
          <w:sz w:val="19"/>
          <w:szCs w:val="19"/>
          <w:lang w:eastAsia="fr-FR"/>
        </w:rPr>
        <w:br/>
        <w:t>« Le présent article s'applique aux immeubles soumis ou non au statut de la copropriété prévu par la </w:t>
      </w:r>
      <w:hyperlink r:id="rId285" w:history="1">
        <w:r w:rsidRPr="00874A27">
          <w:rPr>
            <w:rFonts w:ascii="Arial" w:eastAsia="Times New Roman" w:hAnsi="Arial" w:cs="Arial"/>
            <w:color w:val="336699"/>
            <w:sz w:val="19"/>
            <w:szCs w:val="19"/>
            <w:u w:val="single"/>
            <w:lang w:eastAsia="fr-FR"/>
          </w:rPr>
          <w:t>loi n° 65-557 du 10 juillet 1965</w:t>
        </w:r>
      </w:hyperlink>
      <w:r w:rsidRPr="00874A27">
        <w:rPr>
          <w:rFonts w:ascii="Arial" w:eastAsia="Times New Roman" w:hAnsi="Arial" w:cs="Arial"/>
          <w:color w:val="000000"/>
          <w:sz w:val="19"/>
          <w:szCs w:val="19"/>
          <w:lang w:eastAsia="fr-FR"/>
        </w:rPr>
        <w:t> fixant le statut de la copropriété des immeubles bâtis. Dans le cas d'un immeuble soumis au statut de la copropriété, il peut s'appliquer à un ou plusieurs lots. » ;</w:t>
      </w:r>
      <w:r w:rsidRPr="00874A27">
        <w:rPr>
          <w:rFonts w:ascii="Arial" w:eastAsia="Times New Roman" w:hAnsi="Arial" w:cs="Arial"/>
          <w:color w:val="000000"/>
          <w:sz w:val="19"/>
          <w:szCs w:val="19"/>
          <w:lang w:eastAsia="fr-FR"/>
        </w:rPr>
        <w:br/>
        <w:t>2° Après l'article L. 252-1, il est inséré un article L. 252-1-1 ainsi rédigé :</w:t>
      </w:r>
      <w:r w:rsidRPr="00874A27">
        <w:rPr>
          <w:rFonts w:ascii="Arial" w:eastAsia="Times New Roman" w:hAnsi="Arial" w:cs="Arial"/>
          <w:color w:val="000000"/>
          <w:sz w:val="19"/>
          <w:szCs w:val="19"/>
          <w:lang w:eastAsia="fr-FR"/>
        </w:rPr>
        <w:br/>
        <w:t>« Art. L. 252-1-1. - Par dérogation à l'</w:t>
      </w:r>
      <w:hyperlink r:id="rId286" w:history="1">
        <w:r w:rsidRPr="00874A27">
          <w:rPr>
            <w:rFonts w:ascii="Arial" w:eastAsia="Times New Roman" w:hAnsi="Arial" w:cs="Arial"/>
            <w:color w:val="336699"/>
            <w:sz w:val="19"/>
            <w:szCs w:val="19"/>
            <w:u w:val="single"/>
            <w:lang w:eastAsia="fr-FR"/>
          </w:rPr>
          <w:t>article 23 de la loi n° 65-557 du 10 juillet 1965 précitée</w:t>
        </w:r>
      </w:hyperlink>
      <w:r w:rsidRPr="00874A27">
        <w:rPr>
          <w:rFonts w:ascii="Arial" w:eastAsia="Times New Roman" w:hAnsi="Arial" w:cs="Arial"/>
          <w:color w:val="000000"/>
          <w:sz w:val="19"/>
          <w:szCs w:val="19"/>
          <w:lang w:eastAsia="fr-FR"/>
        </w:rPr>
        <w:t xml:space="preserve">, si le bail à réhabilitation porte sur un ou plusieurs lots dépendant d'un immeuble soumis au statut de la copropriété, le preneur est de droit le mandataire commun prévu au second alinéa du même article. Par dérogation au troisième alinéa du I de l'article 22 de cette même loi, ce preneur peut recevoir </w:t>
      </w:r>
      <w:r w:rsidRPr="00874A27">
        <w:rPr>
          <w:rFonts w:ascii="Arial" w:eastAsia="Times New Roman" w:hAnsi="Arial" w:cs="Arial"/>
          <w:color w:val="000000"/>
          <w:sz w:val="19"/>
          <w:szCs w:val="19"/>
          <w:lang w:eastAsia="fr-FR"/>
        </w:rPr>
        <w:lastRenderedPageBreak/>
        <w:t>plus de trois délégations de vote des bailleurs.</w:t>
      </w:r>
      <w:r w:rsidRPr="00874A27">
        <w:rPr>
          <w:rFonts w:ascii="Arial" w:eastAsia="Times New Roman" w:hAnsi="Arial" w:cs="Arial"/>
          <w:color w:val="000000"/>
          <w:sz w:val="19"/>
          <w:szCs w:val="19"/>
          <w:lang w:eastAsia="fr-FR"/>
        </w:rPr>
        <w:br/>
        <w:t>« Le preneur du bail à réhabilitation supporte seul, pendant la durée du bail, toutes les provisions prévues aux articles 14-1 et 14-2 de ladite loi.</w:t>
      </w:r>
      <w:r w:rsidRPr="00874A27">
        <w:rPr>
          <w:rFonts w:ascii="Arial" w:eastAsia="Times New Roman" w:hAnsi="Arial" w:cs="Arial"/>
          <w:color w:val="000000"/>
          <w:sz w:val="19"/>
          <w:szCs w:val="19"/>
          <w:lang w:eastAsia="fr-FR"/>
        </w:rPr>
        <w:br/>
        <w:t>« Le preneur mandataire commun doit disposer d'un mandat exprès du bailleur avant de voter sur les décisions relatives à des travaux de toute nature qui ne sont pas mis à la charge du preneur par le contrat de bail à réhabilitation et dont la prise en charge n'est pas prévue dans le bail à réhabilitation ou dont le paiement n'incombera pas à titre définitif au preneur.</w:t>
      </w:r>
      <w:r w:rsidRPr="00874A27">
        <w:rPr>
          <w:rFonts w:ascii="Arial" w:eastAsia="Times New Roman" w:hAnsi="Arial" w:cs="Arial"/>
          <w:color w:val="000000"/>
          <w:sz w:val="19"/>
          <w:szCs w:val="19"/>
          <w:lang w:eastAsia="fr-FR"/>
        </w:rPr>
        <w:br/>
        <w:t>« Le bail à réhabilitation précise la répartition des charges en fin de bail et le sort des avances et provisions appelées pendant la durée du bail à réhabilitation ainsi que des régularisations de charges intervenant après la fin du bail. Ces clauses sont inopposables au syndicat des copropriétaires. » ;</w:t>
      </w:r>
      <w:r w:rsidRPr="00874A27">
        <w:rPr>
          <w:rFonts w:ascii="Arial" w:eastAsia="Times New Roman" w:hAnsi="Arial" w:cs="Arial"/>
          <w:color w:val="000000"/>
          <w:sz w:val="19"/>
          <w:szCs w:val="19"/>
          <w:lang w:eastAsia="fr-FR"/>
        </w:rPr>
        <w:br/>
        <w:t>3° L'article L. 252-3 est complété par un alinéa ainsi rédigé :</w:t>
      </w:r>
      <w:r w:rsidRPr="00874A27">
        <w:rPr>
          <w:rFonts w:ascii="Arial" w:eastAsia="Times New Roman" w:hAnsi="Arial" w:cs="Arial"/>
          <w:color w:val="000000"/>
          <w:sz w:val="19"/>
          <w:szCs w:val="19"/>
          <w:lang w:eastAsia="fr-FR"/>
        </w:rPr>
        <w:br/>
        <w:t>« Les articles L. 353-7 et L. 353-16 du présent code sont applicables aux occupants présents au moment de la conclusion du bail à réhabilitation. » ;</w:t>
      </w:r>
      <w:r w:rsidRPr="00874A27">
        <w:rPr>
          <w:rFonts w:ascii="Arial" w:eastAsia="Times New Roman" w:hAnsi="Arial" w:cs="Arial"/>
          <w:color w:val="000000"/>
          <w:sz w:val="19"/>
          <w:szCs w:val="19"/>
          <w:lang w:eastAsia="fr-FR"/>
        </w:rPr>
        <w:br/>
        <w:t>4° L'article L. 252-4 est ainsi rédigé :</w:t>
      </w:r>
      <w:r w:rsidRPr="00874A27">
        <w:rPr>
          <w:rFonts w:ascii="Arial" w:eastAsia="Times New Roman" w:hAnsi="Arial" w:cs="Arial"/>
          <w:color w:val="000000"/>
          <w:sz w:val="19"/>
          <w:szCs w:val="19"/>
          <w:lang w:eastAsia="fr-FR"/>
        </w:rPr>
        <w:br/>
        <w:t>« Art. L. 252-4. - I. ― Un an avant l'expiration du bail à réhabilitation, le preneur rappelle au bailleur et au locataire les dispositions des II et III du présent article.</w:t>
      </w:r>
      <w:r w:rsidRPr="00874A27">
        <w:rPr>
          <w:rFonts w:ascii="Arial" w:eastAsia="Times New Roman" w:hAnsi="Arial" w:cs="Arial"/>
          <w:color w:val="000000"/>
          <w:sz w:val="19"/>
          <w:szCs w:val="19"/>
          <w:lang w:eastAsia="fr-FR"/>
        </w:rPr>
        <w:br/>
        <w:t>« II. ― Six mois avant l'expiration du bail à réhabilitation, le bailleur peut, s'il est occupant, par lettre recommandée avec demande d'avis de réception, informer le preneur de son intention de prolonger le bail à réhabilitation.</w:t>
      </w:r>
      <w:r w:rsidRPr="00874A27">
        <w:rPr>
          <w:rFonts w:ascii="Arial" w:eastAsia="Times New Roman" w:hAnsi="Arial" w:cs="Arial"/>
          <w:color w:val="000000"/>
          <w:sz w:val="19"/>
          <w:szCs w:val="19"/>
          <w:lang w:eastAsia="fr-FR"/>
        </w:rPr>
        <w:br/>
        <w:t>« Dans le même délai, le bailleur qui n'est pas occupant peut proposer au locataire un nouveau bail prenant effet au terme du bail à réhabilitation.</w:t>
      </w:r>
      <w:r w:rsidRPr="00874A27">
        <w:rPr>
          <w:rFonts w:ascii="Arial" w:eastAsia="Times New Roman" w:hAnsi="Arial" w:cs="Arial"/>
          <w:color w:val="000000"/>
          <w:sz w:val="19"/>
          <w:szCs w:val="19"/>
          <w:lang w:eastAsia="fr-FR"/>
        </w:rPr>
        <w:br/>
        <w:t>« La notification reproduit les dispositions du présent II et de l'article L. 252-5.</w:t>
      </w:r>
      <w:r w:rsidRPr="00874A27">
        <w:rPr>
          <w:rFonts w:ascii="Arial" w:eastAsia="Times New Roman" w:hAnsi="Arial" w:cs="Arial"/>
          <w:color w:val="000000"/>
          <w:sz w:val="19"/>
          <w:szCs w:val="19"/>
          <w:lang w:eastAsia="fr-FR"/>
        </w:rPr>
        <w:br/>
        <w:t>« III. ― Trois mois avant l'extinction du bail à réhabilitation, le preneur propose au locataire qui n'a pas conclu un nouveau bail avec le bailleur et qui remplit les conditions de ressources fixées par décret la location d'un logement correspondant à ses besoins et à ses possibilités.</w:t>
      </w:r>
      <w:r w:rsidRPr="00874A27">
        <w:rPr>
          <w:rFonts w:ascii="Arial" w:eastAsia="Times New Roman" w:hAnsi="Arial" w:cs="Arial"/>
          <w:color w:val="000000"/>
          <w:sz w:val="19"/>
          <w:szCs w:val="19"/>
          <w:lang w:eastAsia="fr-FR"/>
        </w:rPr>
        <w:br/>
        <w:t>« Le non-respect de cette obligation par le preneur est inopposable au bailleur.</w:t>
      </w:r>
      <w:r w:rsidRPr="00874A27">
        <w:rPr>
          <w:rFonts w:ascii="Arial" w:eastAsia="Times New Roman" w:hAnsi="Arial" w:cs="Arial"/>
          <w:color w:val="000000"/>
          <w:sz w:val="19"/>
          <w:szCs w:val="19"/>
          <w:lang w:eastAsia="fr-FR"/>
        </w:rPr>
        <w:br/>
        <w:t>« Au terme du bail à réhabilitation, le preneur est tenu de restituer au bailleur l'immeuble libre de location et d'occupation. » ;</w:t>
      </w:r>
      <w:r w:rsidRPr="00874A27">
        <w:rPr>
          <w:rFonts w:ascii="Arial" w:eastAsia="Times New Roman" w:hAnsi="Arial" w:cs="Arial"/>
          <w:color w:val="000000"/>
          <w:sz w:val="19"/>
          <w:szCs w:val="19"/>
          <w:lang w:eastAsia="fr-FR"/>
        </w:rPr>
        <w:br/>
        <w:t>5° Sont ajoutés des articles L. 252-5 et L. 252-6 ainsi rédigés :</w:t>
      </w:r>
      <w:r w:rsidRPr="00874A27">
        <w:rPr>
          <w:rFonts w:ascii="Arial" w:eastAsia="Times New Roman" w:hAnsi="Arial" w:cs="Arial"/>
          <w:color w:val="000000"/>
          <w:sz w:val="19"/>
          <w:szCs w:val="19"/>
          <w:lang w:eastAsia="fr-FR"/>
        </w:rPr>
        <w:br/>
        <w:t>« Art. L. 252-5. - Le locataire qui n'a ni conclu le contrat de location proposé par le bailleur ni accepté l'offre de relogement faite par le preneur est déchu de tout titre d'occupation sur le logement à l'expiration du bail à réhabilitation.</w:t>
      </w:r>
      <w:r w:rsidRPr="00874A27">
        <w:rPr>
          <w:rFonts w:ascii="Arial" w:eastAsia="Times New Roman" w:hAnsi="Arial" w:cs="Arial"/>
          <w:color w:val="000000"/>
          <w:sz w:val="19"/>
          <w:szCs w:val="19"/>
          <w:lang w:eastAsia="fr-FR"/>
        </w:rPr>
        <w:br/>
        <w:t>« Art. L. 252-6. - Le présent chapitre est d'ordre public. »</w:t>
      </w:r>
      <w:r w:rsidRPr="00874A27">
        <w:rPr>
          <w:rFonts w:ascii="Arial" w:eastAsia="Times New Roman" w:hAnsi="Arial" w:cs="Arial"/>
          <w:color w:val="000000"/>
          <w:sz w:val="19"/>
          <w:szCs w:val="19"/>
          <w:lang w:eastAsia="fr-FR"/>
        </w:rPr>
        <w:br/>
        <w:t>II. ― Le chapitre III du même titre V est ainsi modifié :</w:t>
      </w:r>
      <w:r w:rsidRPr="00874A27">
        <w:rPr>
          <w:rFonts w:ascii="Arial" w:eastAsia="Times New Roman" w:hAnsi="Arial" w:cs="Arial"/>
          <w:color w:val="000000"/>
          <w:sz w:val="19"/>
          <w:szCs w:val="19"/>
          <w:lang w:eastAsia="fr-FR"/>
        </w:rPr>
        <w:br/>
        <w:t>1° Après l'article L. 253-1, il est inséré un article L. 253-1-1 ainsi rédigé :</w:t>
      </w:r>
      <w:r w:rsidRPr="00874A27">
        <w:rPr>
          <w:rFonts w:ascii="Arial" w:eastAsia="Times New Roman" w:hAnsi="Arial" w:cs="Arial"/>
          <w:color w:val="000000"/>
          <w:sz w:val="19"/>
          <w:szCs w:val="19"/>
          <w:lang w:eastAsia="fr-FR"/>
        </w:rPr>
        <w:br/>
        <w:t>« Art. L. 253-1-1. - I. ― La convention d'usufruit précise la répartition des dépenses de l'immeuble entre nu-propriétaire et usufruitier. L'usufruitier supporte seul, pendant la durée de la convention, le paiement des provisions prévues aux articles </w:t>
      </w:r>
      <w:hyperlink r:id="rId287" w:history="1">
        <w:r w:rsidRPr="00874A27">
          <w:rPr>
            <w:rFonts w:ascii="Arial" w:eastAsia="Times New Roman" w:hAnsi="Arial" w:cs="Arial"/>
            <w:color w:val="336699"/>
            <w:sz w:val="19"/>
            <w:szCs w:val="19"/>
            <w:u w:val="single"/>
            <w:lang w:eastAsia="fr-FR"/>
          </w:rPr>
          <w:t>14-1</w:t>
        </w:r>
      </w:hyperlink>
      <w:r w:rsidRPr="00874A27">
        <w:rPr>
          <w:rFonts w:ascii="Arial" w:eastAsia="Times New Roman" w:hAnsi="Arial" w:cs="Arial"/>
          <w:color w:val="000000"/>
          <w:sz w:val="19"/>
          <w:szCs w:val="19"/>
          <w:lang w:eastAsia="fr-FR"/>
        </w:rPr>
        <w:t> et </w:t>
      </w:r>
      <w:hyperlink r:id="rId288" w:history="1">
        <w:r w:rsidRPr="00874A27">
          <w:rPr>
            <w:rFonts w:ascii="Arial" w:eastAsia="Times New Roman" w:hAnsi="Arial" w:cs="Arial"/>
            <w:color w:val="336699"/>
            <w:sz w:val="19"/>
            <w:szCs w:val="19"/>
            <w:u w:val="single"/>
            <w:lang w:eastAsia="fr-FR"/>
          </w:rPr>
          <w:t>14-2</w:t>
        </w:r>
      </w:hyperlink>
      <w:r w:rsidRPr="00874A27">
        <w:rPr>
          <w:rFonts w:ascii="Arial" w:eastAsia="Times New Roman" w:hAnsi="Arial" w:cs="Arial"/>
          <w:color w:val="000000"/>
          <w:sz w:val="19"/>
          <w:szCs w:val="19"/>
          <w:lang w:eastAsia="fr-FR"/>
        </w:rPr>
        <w:t> de la loi n° 65-557 du 10 juillet 1965 fixant le statut de la copropriété des immeubles bâtis qui lui incombent au titre de la convention.</w:t>
      </w:r>
      <w:r w:rsidRPr="00874A27">
        <w:rPr>
          <w:rFonts w:ascii="Arial" w:eastAsia="Times New Roman" w:hAnsi="Arial" w:cs="Arial"/>
          <w:color w:val="000000"/>
          <w:sz w:val="19"/>
          <w:szCs w:val="19"/>
          <w:lang w:eastAsia="fr-FR"/>
        </w:rPr>
        <w:br/>
        <w:t>« II. ― Par dérogation à l'</w:t>
      </w:r>
      <w:hyperlink r:id="rId289" w:history="1">
        <w:r w:rsidRPr="00874A27">
          <w:rPr>
            <w:rFonts w:ascii="Arial" w:eastAsia="Times New Roman" w:hAnsi="Arial" w:cs="Arial"/>
            <w:color w:val="336699"/>
            <w:sz w:val="19"/>
            <w:szCs w:val="19"/>
            <w:u w:val="single"/>
            <w:lang w:eastAsia="fr-FR"/>
          </w:rPr>
          <w:t>article 23 de la loi n° 65-557 du 10 juillet 1965 précitée</w:t>
        </w:r>
      </w:hyperlink>
      <w:r w:rsidRPr="00874A27">
        <w:rPr>
          <w:rFonts w:ascii="Arial" w:eastAsia="Times New Roman" w:hAnsi="Arial" w:cs="Arial"/>
          <w:color w:val="000000"/>
          <w:sz w:val="19"/>
          <w:szCs w:val="19"/>
          <w:lang w:eastAsia="fr-FR"/>
        </w:rPr>
        <w:t>, si la convention d'usufruit porte sur un ou plusieurs lots dépendant d'un immeuble soumis au statut de la copropriété, l'usufruitier est de droit le mandataire commun prévu au second alinéa du même article. Il bénéficie d'une délégation de vote pour prendre les décisions mentionnées à l'article 24, et à l'article 25, à l'exclusion du n, et au c de l'article 26 de cette même loi et dont, au titre de la convention d'usufruit, il assume seul la charge financière définitive. Il doit obtenir un mandat exprès pour les autres décisions. Par dérogation au troisième alinéa du I de l'article 22 de ladite loi, il peut recevoir plus de trois délégations de vote des nus-propriétaires. Lorsque la convention d'usufruit porte sur l'intégralité des lots, l'usufruitier ne bénéficie pas de délégation de vote pour prendre la décision mentionnée au c de l'article 25.</w:t>
      </w:r>
      <w:r w:rsidRPr="00874A27">
        <w:rPr>
          <w:rFonts w:ascii="Arial" w:eastAsia="Times New Roman" w:hAnsi="Arial" w:cs="Arial"/>
          <w:color w:val="000000"/>
          <w:sz w:val="19"/>
          <w:szCs w:val="19"/>
          <w:lang w:eastAsia="fr-FR"/>
        </w:rPr>
        <w:br/>
        <w:t>« III. ― La convention d'usufruit précise la répartition des charges à son expiration, le sort des avances et provisions appelées pendant la durée de la convention ainsi que les régularisations de charges intervenant après l'extinction de l'usufruit. Ces clauses sont inopposables au syndicat des copropriétaires. » ;</w:t>
      </w:r>
      <w:r w:rsidRPr="00874A27">
        <w:rPr>
          <w:rFonts w:ascii="Arial" w:eastAsia="Times New Roman" w:hAnsi="Arial" w:cs="Arial"/>
          <w:color w:val="000000"/>
          <w:sz w:val="19"/>
          <w:szCs w:val="19"/>
          <w:lang w:eastAsia="fr-FR"/>
        </w:rPr>
        <w:br/>
        <w:t>2° L'article L. 253-2 est complété par un alinéa ainsi rédigé :</w:t>
      </w:r>
      <w:r w:rsidRPr="00874A27">
        <w:rPr>
          <w:rFonts w:ascii="Arial" w:eastAsia="Times New Roman" w:hAnsi="Arial" w:cs="Arial"/>
          <w:color w:val="000000"/>
          <w:sz w:val="19"/>
          <w:szCs w:val="19"/>
          <w:lang w:eastAsia="fr-FR"/>
        </w:rPr>
        <w:br/>
        <w:t>« Dans l'hypothèse où la convention mentionnée au deuxième alinéa du présent article est conclue, les articles L. 353-7 et L. 353-16 sont applicables aux locataires et occupants présents au moment de la conclusion de ladite convention. » ;</w:t>
      </w:r>
      <w:r w:rsidRPr="00874A27">
        <w:rPr>
          <w:rFonts w:ascii="Arial" w:eastAsia="Times New Roman" w:hAnsi="Arial" w:cs="Arial"/>
          <w:color w:val="000000"/>
          <w:sz w:val="19"/>
          <w:szCs w:val="19"/>
          <w:lang w:eastAsia="fr-FR"/>
        </w:rPr>
        <w:br/>
        <w:t>3° Après le premier alinéa de l'article L. 253-5, il est inséré un alinéa ainsi rédigé :</w:t>
      </w:r>
      <w:r w:rsidRPr="00874A27">
        <w:rPr>
          <w:rFonts w:ascii="Arial" w:eastAsia="Times New Roman" w:hAnsi="Arial" w:cs="Arial"/>
          <w:color w:val="000000"/>
          <w:sz w:val="19"/>
          <w:szCs w:val="19"/>
          <w:lang w:eastAsia="fr-FR"/>
        </w:rPr>
        <w:br/>
        <w:t>« ― soit, s'il est occupant, informer l'usufruitier de son intention de renouveler la convention d'usufruit ; ».</w:t>
      </w:r>
      <w:r w:rsidRPr="00874A27">
        <w:rPr>
          <w:rFonts w:ascii="Arial" w:eastAsia="Times New Roman" w:hAnsi="Arial" w:cs="Arial"/>
          <w:color w:val="000000"/>
          <w:sz w:val="19"/>
          <w:szCs w:val="19"/>
          <w:lang w:eastAsia="fr-FR"/>
        </w:rPr>
        <w:br/>
        <w:t>III. ― Le second alinéa de l'article 23 de la loi n° 65-557 du 10 juillet 1965 précitée est ainsi modifié :</w:t>
      </w:r>
      <w:r w:rsidRPr="00874A27">
        <w:rPr>
          <w:rFonts w:ascii="Arial" w:eastAsia="Times New Roman" w:hAnsi="Arial" w:cs="Arial"/>
          <w:color w:val="000000"/>
          <w:sz w:val="19"/>
          <w:szCs w:val="19"/>
          <w:lang w:eastAsia="fr-FR"/>
        </w:rPr>
        <w:br/>
        <w:t>1° Les mots : « d'usufruit d'un lot » sont remplacés par les mots : « de démembrement du droit de propriété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2° Les mots : « , sauf stipulation contraire du règlement de copropriété, » sont supprimés ;</w:t>
      </w:r>
      <w:r w:rsidRPr="00874A27">
        <w:rPr>
          <w:rFonts w:ascii="Arial" w:eastAsia="Times New Roman" w:hAnsi="Arial" w:cs="Arial"/>
          <w:color w:val="000000"/>
          <w:sz w:val="19"/>
          <w:szCs w:val="19"/>
          <w:lang w:eastAsia="fr-FR"/>
        </w:rPr>
        <w:br/>
        <w:t>3° Le mot : « sera » est remplacé par le mot : « est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68" w:name="JORFARTI000028773787"/>
      <w:bookmarkEnd w:id="68"/>
      <w:r w:rsidRPr="00874A27">
        <w:rPr>
          <w:rFonts w:ascii="Arial" w:eastAsia="Times New Roman" w:hAnsi="Arial" w:cs="Arial"/>
          <w:b/>
          <w:bCs/>
          <w:color w:val="000000"/>
          <w:sz w:val="23"/>
          <w:szCs w:val="23"/>
          <w:lang w:eastAsia="fr-FR"/>
        </w:rPr>
        <w:t>Article 69 </w:t>
      </w:r>
      <w:hyperlink r:id="rId290" w:tooltip="En savoir plus sur l'article 6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chapitre V du titre Ier du livre VI du code de la construction et de l'habitation est ainsi modifié :</w:t>
      </w:r>
      <w:r w:rsidRPr="00874A27">
        <w:rPr>
          <w:rFonts w:ascii="Arial" w:eastAsia="Times New Roman" w:hAnsi="Arial" w:cs="Arial"/>
          <w:color w:val="000000"/>
          <w:sz w:val="19"/>
          <w:szCs w:val="19"/>
          <w:lang w:eastAsia="fr-FR"/>
        </w:rPr>
        <w:br/>
        <w:t>1° L'article L. 615-1 est ainsi rédigé :</w:t>
      </w:r>
      <w:r w:rsidRPr="00874A27">
        <w:rPr>
          <w:rFonts w:ascii="Arial" w:eastAsia="Times New Roman" w:hAnsi="Arial" w:cs="Arial"/>
          <w:color w:val="000000"/>
          <w:sz w:val="19"/>
          <w:szCs w:val="19"/>
          <w:lang w:eastAsia="fr-FR"/>
        </w:rPr>
        <w:br/>
        <w:t>« Art. L. 615-1. - I. ― Lorsqu'un groupe d'immeubles ou un ensemble immobilier déterminé, à usage d'habitation ou à usage mixte professionnel, commercial et d'habitation, soumis au régime de la copropriété, ou un groupe d'immeubles bâtis en société d'attribution ou en société coopérative de construction donnant vocation à l'attribution d'un lot est confronté à de graves difficultés sociales, techniques et financières résultant notamment de complexités juridiques ou techniques et risquant à terme de compromettre leur conservation, le représentant de l'Etat dans le département peut, à son initiative ou sur proposition du maire de la commune, du président de l'établissement public de coopération intercommunale compétent en matière d'habitat, d'associations d'habitants, d'associations de propriétaires ou de copropriétaires ou de l'administrateur provisoire mentionné à l'</w:t>
      </w:r>
      <w:hyperlink r:id="rId291" w:history="1">
        <w:r w:rsidRPr="00874A27">
          <w:rPr>
            <w:rFonts w:ascii="Arial" w:eastAsia="Times New Roman" w:hAnsi="Arial" w:cs="Arial"/>
            <w:color w:val="336699"/>
            <w:sz w:val="19"/>
            <w:szCs w:val="19"/>
            <w:u w:val="single"/>
            <w:lang w:eastAsia="fr-FR"/>
          </w:rPr>
          <w:t>article 29-1 de la loi n° 65-557 du 10 juillet 1965</w:t>
        </w:r>
      </w:hyperlink>
      <w:r w:rsidRPr="00874A27">
        <w:rPr>
          <w:rFonts w:ascii="Arial" w:eastAsia="Times New Roman" w:hAnsi="Arial" w:cs="Arial"/>
          <w:color w:val="000000"/>
          <w:sz w:val="19"/>
          <w:szCs w:val="19"/>
          <w:lang w:eastAsia="fr-FR"/>
        </w:rPr>
        <w:t> fixant le statut de la copropriété des immeubles bâtis, confier à une commission qu'il constitue le soin d'élaborer un diagnostic de la situation et de proposer un plan de sauvegarde destiné à résoudre les difficultés du groupe d'immeubles bâtis ou de l'ensemble immobilier concerné. Cette commission comprend obligatoirement des représentants des propriétaires et des locataires des immeubles concernés.</w:t>
      </w:r>
      <w:r w:rsidRPr="00874A27">
        <w:rPr>
          <w:rFonts w:ascii="Arial" w:eastAsia="Times New Roman" w:hAnsi="Arial" w:cs="Arial"/>
          <w:color w:val="000000"/>
          <w:sz w:val="19"/>
          <w:szCs w:val="19"/>
          <w:lang w:eastAsia="fr-FR"/>
        </w:rPr>
        <w:br/>
        <w:t>« II. ― Le projet de plan de sauvegarde est soumis à l'approbation du représentant de l'Etat dans le département et à l'avis du maire, du président de l'établissement public de coopération intercommunale compétent en matière d'habitat et, le cas échéant, du président du conseil général ayant conclu la convention mentionnée à l'article L. 301-5-2.</w:t>
      </w:r>
      <w:r w:rsidRPr="00874A27">
        <w:rPr>
          <w:rFonts w:ascii="Arial" w:eastAsia="Times New Roman" w:hAnsi="Arial" w:cs="Arial"/>
          <w:color w:val="000000"/>
          <w:sz w:val="19"/>
          <w:szCs w:val="19"/>
          <w:lang w:eastAsia="fr-FR"/>
        </w:rPr>
        <w:br/>
        <w:t>« III. ― Si le groupe d'immeubles bâtis ou l'ensemble immobilier concerné est soumis à la </w:t>
      </w:r>
      <w:hyperlink r:id="rId292" w:history="1">
        <w:r w:rsidRPr="00874A27">
          <w:rPr>
            <w:rFonts w:ascii="Arial" w:eastAsia="Times New Roman" w:hAnsi="Arial" w:cs="Arial"/>
            <w:color w:val="336699"/>
            <w:sz w:val="19"/>
            <w:szCs w:val="19"/>
            <w:u w:val="single"/>
            <w:lang w:eastAsia="fr-FR"/>
          </w:rPr>
          <w:t>loi n° 65-557 du 10 juillet 1965 précitée</w:t>
        </w:r>
      </w:hyperlink>
      <w:r w:rsidRPr="00874A27">
        <w:rPr>
          <w:rFonts w:ascii="Arial" w:eastAsia="Times New Roman" w:hAnsi="Arial" w:cs="Arial"/>
          <w:color w:val="000000"/>
          <w:sz w:val="19"/>
          <w:szCs w:val="19"/>
          <w:lang w:eastAsia="fr-FR"/>
        </w:rPr>
        <w:t>, le projet de plan de sauvegarde de la commission prévue au I du présent article puis le plan approuvé par le représentant de l'Etat dans le département sont adressés pour information au syndicat des copropriétaires, pris en la personne du syndic, ou à l'administrateur provisoire, s'il en existe un. Dès réception du plan approuvé par le représentant de l'Etat dans le département, le syndic inscrit à l'ordre du jour de la prochaine assemblée générale les mesures préconisées dans le plan. Si la prochaine assemblée générale n'intervient pas dans les six mois à compter de l'approbation du plan, le syndic convoque une assemblée générale extraordinaire.</w:t>
      </w:r>
      <w:r w:rsidRPr="00874A27">
        <w:rPr>
          <w:rFonts w:ascii="Arial" w:eastAsia="Times New Roman" w:hAnsi="Arial" w:cs="Arial"/>
          <w:color w:val="000000"/>
          <w:sz w:val="19"/>
          <w:szCs w:val="19"/>
          <w:lang w:eastAsia="fr-FR"/>
        </w:rPr>
        <w:br/>
        <w:t>« IV. ― Faute de réunion de l'assemblée générale ou en cas de rejet des mesures du plan de sauvegarde et si les difficultés du groupe d'immeubles bâtis ou de l'ensemble immobilier compromettent la conservation de l'immeuble, le maire ou le président de l'établissement public de coopération intercommunale compétent en matière d'habitat peut saisir le juge aux fins de nommer un administrateur provisoire en application de l'</w:t>
      </w:r>
      <w:hyperlink r:id="rId293" w:history="1">
        <w:r w:rsidRPr="00874A27">
          <w:rPr>
            <w:rFonts w:ascii="Arial" w:eastAsia="Times New Roman" w:hAnsi="Arial" w:cs="Arial"/>
            <w:color w:val="336699"/>
            <w:sz w:val="19"/>
            <w:szCs w:val="19"/>
            <w:u w:val="single"/>
            <w:lang w:eastAsia="fr-FR"/>
          </w:rPr>
          <w:t>article 29-1 de la loi n° 65-557 du 10 juillet 1965 précitée</w:t>
        </w:r>
      </w:hyperlink>
      <w:r w:rsidRPr="00874A27">
        <w:rPr>
          <w:rFonts w:ascii="Arial" w:eastAsia="Times New Roman" w:hAnsi="Arial" w:cs="Arial"/>
          <w:color w:val="000000"/>
          <w:sz w:val="19"/>
          <w:szCs w:val="19"/>
          <w:lang w:eastAsia="fr-FR"/>
        </w:rPr>
        <w:t> ou pour déclarer l'état de carence dans les conditions prévues à l'article L. 615-6.</w:t>
      </w:r>
      <w:r w:rsidRPr="00874A27">
        <w:rPr>
          <w:rFonts w:ascii="Arial" w:eastAsia="Times New Roman" w:hAnsi="Arial" w:cs="Arial"/>
          <w:color w:val="000000"/>
          <w:sz w:val="19"/>
          <w:szCs w:val="19"/>
          <w:lang w:eastAsia="fr-FR"/>
        </w:rPr>
        <w:br/>
        <w:t>« V. ― Les I à IV ne s'appliquent pas aux immeubles appartenant en totalité aux organismes d'habitations à loyer modéré mentionnés à l'article L. 411-2. » ;</w:t>
      </w:r>
      <w:r w:rsidRPr="00874A27">
        <w:rPr>
          <w:rFonts w:ascii="Arial" w:eastAsia="Times New Roman" w:hAnsi="Arial" w:cs="Arial"/>
          <w:color w:val="000000"/>
          <w:sz w:val="19"/>
          <w:szCs w:val="19"/>
          <w:lang w:eastAsia="fr-FR"/>
        </w:rPr>
        <w:br/>
        <w:t>2° L'article L. 615-2 est ainsi modifié :</w:t>
      </w:r>
      <w:r w:rsidRPr="00874A27">
        <w:rPr>
          <w:rFonts w:ascii="Arial" w:eastAsia="Times New Roman" w:hAnsi="Arial" w:cs="Arial"/>
          <w:color w:val="000000"/>
          <w:sz w:val="19"/>
          <w:szCs w:val="19"/>
          <w:lang w:eastAsia="fr-FR"/>
        </w:rPr>
        <w:br/>
        <w:t>a) Au début du premier alinéa, est ajoutée la mention : « I. ― » ;</w:t>
      </w:r>
      <w:r w:rsidRPr="00874A27">
        <w:rPr>
          <w:rFonts w:ascii="Arial" w:eastAsia="Times New Roman" w:hAnsi="Arial" w:cs="Arial"/>
          <w:color w:val="000000"/>
          <w:sz w:val="19"/>
          <w:szCs w:val="19"/>
          <w:lang w:eastAsia="fr-FR"/>
        </w:rPr>
        <w:br/>
        <w:t>b) Après le premier alinéa, il est inséré un alinéa ainsi rédigé :</w:t>
      </w:r>
      <w:r w:rsidRPr="00874A27">
        <w:rPr>
          <w:rFonts w:ascii="Arial" w:eastAsia="Times New Roman" w:hAnsi="Arial" w:cs="Arial"/>
          <w:color w:val="000000"/>
          <w:sz w:val="19"/>
          <w:szCs w:val="19"/>
          <w:lang w:eastAsia="fr-FR"/>
        </w:rPr>
        <w:br/>
        <w:t>« ― redresser la situation financière de la copropriété ; » ;</w:t>
      </w:r>
      <w:r w:rsidRPr="00874A27">
        <w:rPr>
          <w:rFonts w:ascii="Arial" w:eastAsia="Times New Roman" w:hAnsi="Arial" w:cs="Arial"/>
          <w:color w:val="000000"/>
          <w:sz w:val="19"/>
          <w:szCs w:val="19"/>
          <w:lang w:eastAsia="fr-FR"/>
        </w:rPr>
        <w:br/>
        <w:t>c) Au quatrième alinéa, après le mot : « réaliser », sont insérés les mots : « ou faire réaliser par un tiers » ;</w:t>
      </w:r>
      <w:r w:rsidRPr="00874A27">
        <w:rPr>
          <w:rFonts w:ascii="Arial" w:eastAsia="Times New Roman" w:hAnsi="Arial" w:cs="Arial"/>
          <w:color w:val="000000"/>
          <w:sz w:val="19"/>
          <w:szCs w:val="19"/>
          <w:lang w:eastAsia="fr-FR"/>
        </w:rPr>
        <w:br/>
        <w:t>d) Le dernier alinéa est ainsi rédigé :</w:t>
      </w:r>
      <w:r w:rsidRPr="00874A27">
        <w:rPr>
          <w:rFonts w:ascii="Arial" w:eastAsia="Times New Roman" w:hAnsi="Arial" w:cs="Arial"/>
          <w:color w:val="000000"/>
          <w:sz w:val="19"/>
          <w:szCs w:val="19"/>
          <w:lang w:eastAsia="fr-FR"/>
        </w:rPr>
        <w:br/>
        <w:t>« Le plan de sauvegarde fait l'objet d'une convention de mise en œuvre entre les personnes de droit public compétentes, l'administrateur provisoire, si l'immeuble fait l'objet de la procédure prévue aux </w:t>
      </w:r>
      <w:hyperlink r:id="rId294" w:history="1">
        <w:r w:rsidRPr="00874A27">
          <w:rPr>
            <w:rFonts w:ascii="Arial" w:eastAsia="Times New Roman" w:hAnsi="Arial" w:cs="Arial"/>
            <w:color w:val="336699"/>
            <w:sz w:val="19"/>
            <w:szCs w:val="19"/>
            <w:u w:val="single"/>
            <w:lang w:eastAsia="fr-FR"/>
          </w:rPr>
          <w:t>articles 29-1 et suivants de la loi n° 65-557 du 10 juillet 1965</w:t>
        </w:r>
      </w:hyperlink>
      <w:r w:rsidRPr="00874A27">
        <w:rPr>
          <w:rFonts w:ascii="Arial" w:eastAsia="Times New Roman" w:hAnsi="Arial" w:cs="Arial"/>
          <w:color w:val="000000"/>
          <w:sz w:val="19"/>
          <w:szCs w:val="19"/>
          <w:lang w:eastAsia="fr-FR"/>
        </w:rPr>
        <w:t> fixant le statut de la copropriété des immeubles bâtis, et, le cas échéant, les personnes privées intéressées aux fins, notamment, de préciser l'échéancier de ces mesures ainsi que les conditions de leur financement, les modalités d'intervention des différents opérateurs mandatés par les signataires et leur articulation avec la mission de l'administrateur provisoire. La convention précise également les modalités d'évaluation du plan de sauvegarde ainsi que les modalités de suivi de la copropriété au terme du plan. » ;</w:t>
      </w:r>
      <w:r w:rsidRPr="00874A27">
        <w:rPr>
          <w:rFonts w:ascii="Arial" w:eastAsia="Times New Roman" w:hAnsi="Arial" w:cs="Arial"/>
          <w:color w:val="000000"/>
          <w:sz w:val="19"/>
          <w:szCs w:val="19"/>
          <w:lang w:eastAsia="fr-FR"/>
        </w:rPr>
        <w:br/>
        <w:t>e) Sont ajoutés des II et III ainsi rédigés :</w:t>
      </w:r>
      <w:r w:rsidRPr="00874A27">
        <w:rPr>
          <w:rFonts w:ascii="Arial" w:eastAsia="Times New Roman" w:hAnsi="Arial" w:cs="Arial"/>
          <w:color w:val="000000"/>
          <w:sz w:val="19"/>
          <w:szCs w:val="19"/>
          <w:lang w:eastAsia="fr-FR"/>
        </w:rPr>
        <w:br/>
        <w:t>« II. ― Le représentant de l'Etat dans le département désigne, parmi les membres de la commission ou hors de celle-ci, un coordonnateur chargé de veiller à la bonne exécution du plan de sauvegarde.</w:t>
      </w:r>
      <w:r w:rsidRPr="00874A27">
        <w:rPr>
          <w:rFonts w:ascii="Arial" w:eastAsia="Times New Roman" w:hAnsi="Arial" w:cs="Arial"/>
          <w:color w:val="000000"/>
          <w:sz w:val="19"/>
          <w:szCs w:val="19"/>
          <w:lang w:eastAsia="fr-FR"/>
        </w:rPr>
        <w:br/>
        <w:t>« Le coordonnateur peut adresser des mises en demeure aux parties qui ne respectent pas, dans les délais prévus, les engagements contenus dans le plan de sauvegarde. Si une procédure judiciaire est engagée sur le fondement des </w:t>
      </w:r>
      <w:hyperlink r:id="rId295" w:history="1">
        <w:r w:rsidRPr="00874A27">
          <w:rPr>
            <w:rFonts w:ascii="Arial" w:eastAsia="Times New Roman" w:hAnsi="Arial" w:cs="Arial"/>
            <w:color w:val="336699"/>
            <w:sz w:val="19"/>
            <w:szCs w:val="19"/>
            <w:u w:val="single"/>
            <w:lang w:eastAsia="fr-FR"/>
          </w:rPr>
          <w:t xml:space="preserve">articles 29-1 et suivants de la loi n° 65-557 du 10 juillet 1965 </w:t>
        </w:r>
        <w:r w:rsidRPr="00874A27">
          <w:rPr>
            <w:rFonts w:ascii="Arial" w:eastAsia="Times New Roman" w:hAnsi="Arial" w:cs="Arial"/>
            <w:color w:val="336699"/>
            <w:sz w:val="19"/>
            <w:szCs w:val="19"/>
            <w:u w:val="single"/>
            <w:lang w:eastAsia="fr-FR"/>
          </w:rPr>
          <w:lastRenderedPageBreak/>
          <w:t>précitée</w:t>
        </w:r>
      </w:hyperlink>
      <w:r w:rsidRPr="00874A27">
        <w:rPr>
          <w:rFonts w:ascii="Arial" w:eastAsia="Times New Roman" w:hAnsi="Arial" w:cs="Arial"/>
          <w:color w:val="000000"/>
          <w:sz w:val="19"/>
          <w:szCs w:val="19"/>
          <w:lang w:eastAsia="fr-FR"/>
        </w:rPr>
        <w:t>, il veille à l'articulation du plan de sauvegarde avec la mission de l'administrateur provisoire et, le cas échéant, avec le contrat de l'opérateur mentionné à l'article 29-11 de la même loi.</w:t>
      </w:r>
      <w:r w:rsidRPr="00874A27">
        <w:rPr>
          <w:rFonts w:ascii="Arial" w:eastAsia="Times New Roman" w:hAnsi="Arial" w:cs="Arial"/>
          <w:color w:val="000000"/>
          <w:sz w:val="19"/>
          <w:szCs w:val="19"/>
          <w:lang w:eastAsia="fr-FR"/>
        </w:rPr>
        <w:br/>
        <w:t>« Il établit un rapport de sa mission.</w:t>
      </w:r>
      <w:r w:rsidRPr="00874A27">
        <w:rPr>
          <w:rFonts w:ascii="Arial" w:eastAsia="Times New Roman" w:hAnsi="Arial" w:cs="Arial"/>
          <w:color w:val="000000"/>
          <w:sz w:val="19"/>
          <w:szCs w:val="19"/>
          <w:lang w:eastAsia="fr-FR"/>
        </w:rPr>
        <w:br/>
        <w:t>« III. ― Le représentant de l'Etat peut, après évaluation et consultation de la commission mentionnée au I de l'article L. 615-1 et selon les modalités prévues au II du même article, modifier le plan de sauvegarde initial lors de la nomination d'un administrateur provisoire ou prolonger le plan de sauvegarde, par période de deux ans, si le redressement de la copropriété le nécessite. » ;</w:t>
      </w:r>
      <w:r w:rsidRPr="00874A27">
        <w:rPr>
          <w:rFonts w:ascii="Arial" w:eastAsia="Times New Roman" w:hAnsi="Arial" w:cs="Arial"/>
          <w:color w:val="000000"/>
          <w:sz w:val="19"/>
          <w:szCs w:val="19"/>
          <w:lang w:eastAsia="fr-FR"/>
        </w:rPr>
        <w:br/>
        <w:t>3° L'article L. 615-3 est ainsi rédigé :</w:t>
      </w:r>
      <w:r w:rsidRPr="00874A27">
        <w:rPr>
          <w:rFonts w:ascii="Arial" w:eastAsia="Times New Roman" w:hAnsi="Arial" w:cs="Arial"/>
          <w:color w:val="000000"/>
          <w:sz w:val="19"/>
          <w:szCs w:val="19"/>
          <w:lang w:eastAsia="fr-FR"/>
        </w:rPr>
        <w:br/>
        <w:t>« Art. L. 615-3. - La commission mentionnée à l'article L. 615-1 est présidée par le représentant de l'Etat dans le département et comprend, notamment, le maire de la commune, le président de l'établissement public de coopération intercommunale compétent en matière d'habitat, le président du conseil général du département, sur le territoire desquels sont situés les immeubles ou ensembles immobiliers concernés par le plan de sauvegarde, le président du conseil syndical, ou leurs représentants, ainsi que, le cas échéant, l'administrateur provisoire désigné en application de l'</w:t>
      </w:r>
      <w:hyperlink r:id="rId296" w:history="1">
        <w:r w:rsidRPr="00874A27">
          <w:rPr>
            <w:rFonts w:ascii="Arial" w:eastAsia="Times New Roman" w:hAnsi="Arial" w:cs="Arial"/>
            <w:color w:val="336699"/>
            <w:sz w:val="19"/>
            <w:szCs w:val="19"/>
            <w:u w:val="single"/>
            <w:lang w:eastAsia="fr-FR"/>
          </w:rPr>
          <w:t>article 29-1 de la loi n° 65-557 du 10 juillet 1965 précitée</w:t>
        </w:r>
      </w:hyperlink>
      <w:r w:rsidRPr="00874A27">
        <w:rPr>
          <w:rFonts w:ascii="Arial" w:eastAsia="Times New Roman" w:hAnsi="Arial" w:cs="Arial"/>
          <w:color w:val="000000"/>
          <w:sz w:val="19"/>
          <w:szCs w:val="19"/>
          <w:lang w:eastAsia="fr-FR"/>
        </w:rPr>
        <w:t>. Lorsque la copropriété n'a pas de conseil syndical, l'assemblée générale des copropriétaires peut désigner un représentant chargé de la représenter au sein de la commission.</w:t>
      </w:r>
      <w:r w:rsidRPr="00874A27">
        <w:rPr>
          <w:rFonts w:ascii="Arial" w:eastAsia="Times New Roman" w:hAnsi="Arial" w:cs="Arial"/>
          <w:color w:val="000000"/>
          <w:sz w:val="19"/>
          <w:szCs w:val="19"/>
          <w:lang w:eastAsia="fr-FR"/>
        </w:rPr>
        <w:br/>
        <w:t>« Le représentant de l'Etat dans le département peut confier au maire de la commune concernée ou au président de l'établissement public de coopération intercommunale compétent en matière d'habitat la présidence de la commission mentionnée à l'article L. 615-1 lorsque l'une de ces autorités est à l'initiative du plan de sauvegarde. » ;</w:t>
      </w:r>
      <w:r w:rsidRPr="00874A27">
        <w:rPr>
          <w:rFonts w:ascii="Arial" w:eastAsia="Times New Roman" w:hAnsi="Arial" w:cs="Arial"/>
          <w:color w:val="000000"/>
          <w:sz w:val="19"/>
          <w:szCs w:val="19"/>
          <w:lang w:eastAsia="fr-FR"/>
        </w:rPr>
        <w:br/>
        <w:t>4° Après l'article L. 615-4-1, il est inséré un article L. 615-4-2 ainsi rédigé :</w:t>
      </w:r>
      <w:r w:rsidRPr="00874A27">
        <w:rPr>
          <w:rFonts w:ascii="Arial" w:eastAsia="Times New Roman" w:hAnsi="Arial" w:cs="Arial"/>
          <w:color w:val="000000"/>
          <w:sz w:val="19"/>
          <w:szCs w:val="19"/>
          <w:lang w:eastAsia="fr-FR"/>
        </w:rPr>
        <w:br/>
        <w:t>« Art. L. 615-4-2. - Le syndic met à la disposition du représentant de l'Etat dans le département, du maire, du président de l'établissement public de coopération intercommunale compétent en matière d'habitat et de la commission mentionnée à l'article L. 615-1 les documents nécessaires à l'élaboration, à la mise en œuvre et à l'évaluation du plan de sauvegarde.</w:t>
      </w:r>
      <w:r w:rsidRPr="00874A27">
        <w:rPr>
          <w:rFonts w:ascii="Arial" w:eastAsia="Times New Roman" w:hAnsi="Arial" w:cs="Arial"/>
          <w:color w:val="000000"/>
          <w:sz w:val="19"/>
          <w:szCs w:val="19"/>
          <w:lang w:eastAsia="fr-FR"/>
        </w:rPr>
        <w:br/>
        <w:t>« Ces prestations ne peuvent donner lieu à la perception d'honoraires spécifiques au profit du syndic.</w:t>
      </w:r>
      <w:r w:rsidRPr="00874A27">
        <w:rPr>
          <w:rFonts w:ascii="Arial" w:eastAsia="Times New Roman" w:hAnsi="Arial" w:cs="Arial"/>
          <w:color w:val="000000"/>
          <w:sz w:val="19"/>
          <w:szCs w:val="19"/>
          <w:lang w:eastAsia="fr-FR"/>
        </w:rPr>
        <w:br/>
        <w:t>« Le défaut de communication des documents engage la responsabilité du syndic un mois après une mise en demeure par lettre recommandée avec demande d'avis de réception restée infructueuse et peut donner lieu aux sanctions disciplinaires prévues à l'article 13-8 de la loi n° 70-9 du 2 janvier 1970 réglementant les conditions d'exercice des activités relatives à certaines opérations portant sur les immeubles et les fonds de commerce. » ;</w:t>
      </w:r>
      <w:r w:rsidRPr="00874A27">
        <w:rPr>
          <w:rFonts w:ascii="Arial" w:eastAsia="Times New Roman" w:hAnsi="Arial" w:cs="Arial"/>
          <w:color w:val="000000"/>
          <w:sz w:val="19"/>
          <w:szCs w:val="19"/>
          <w:lang w:eastAsia="fr-FR"/>
        </w:rPr>
        <w:br/>
        <w:t>5° A l'article L. 615-5, la référence : « L. 615-4-1 » est remplacée par la référence : « L. 615-4-2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69" w:name="JORFARTI000028773809"/>
      <w:bookmarkEnd w:id="69"/>
      <w:r w:rsidRPr="00874A27">
        <w:rPr>
          <w:rFonts w:ascii="Arial" w:eastAsia="Times New Roman" w:hAnsi="Arial" w:cs="Arial"/>
          <w:b/>
          <w:bCs/>
          <w:color w:val="000000"/>
          <w:sz w:val="23"/>
          <w:szCs w:val="23"/>
          <w:lang w:eastAsia="fr-FR"/>
        </w:rPr>
        <w:t>Article 70 </w:t>
      </w:r>
      <w:hyperlink r:id="rId297" w:tooltip="En savoir plus sur l'article 7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la première phrase du second alinéa de l'article L. 313-4-2 du code de l'urbanisme, est insérée une phrase ainsi rédigée :</w:t>
      </w:r>
      <w:r w:rsidRPr="00874A27">
        <w:rPr>
          <w:rFonts w:ascii="Arial" w:eastAsia="Times New Roman" w:hAnsi="Arial" w:cs="Arial"/>
          <w:color w:val="000000"/>
          <w:sz w:val="19"/>
          <w:szCs w:val="19"/>
          <w:lang w:eastAsia="fr-FR"/>
        </w:rPr>
        <w:br/>
        <w:t>« Lorsque le programme de travaux concerne des bâtiments soumis à la </w:t>
      </w:r>
      <w:hyperlink r:id="rId298" w:history="1">
        <w:r w:rsidRPr="00874A27">
          <w:rPr>
            <w:rFonts w:ascii="Arial" w:eastAsia="Times New Roman" w:hAnsi="Arial" w:cs="Arial"/>
            <w:color w:val="336699"/>
            <w:sz w:val="19"/>
            <w:szCs w:val="19"/>
            <w:u w:val="single"/>
            <w:lang w:eastAsia="fr-FR"/>
          </w:rPr>
          <w:t>loi n° 65-557 du 10 juillet 1965</w:t>
        </w:r>
      </w:hyperlink>
      <w:r w:rsidRPr="00874A27">
        <w:rPr>
          <w:rFonts w:ascii="Arial" w:eastAsia="Times New Roman" w:hAnsi="Arial" w:cs="Arial"/>
          <w:color w:val="000000"/>
          <w:sz w:val="19"/>
          <w:szCs w:val="19"/>
          <w:lang w:eastAsia="fr-FR"/>
        </w:rPr>
        <w:t> fixant le statut de la copropriété des immeubles bâtis, le programme portant sur les parties communes est également notifié au syndicat des copropriétaires, pris en la personne du syndic.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70" w:name="JORFARTI000028773813"/>
      <w:bookmarkEnd w:id="70"/>
      <w:r w:rsidRPr="00874A27">
        <w:rPr>
          <w:rFonts w:ascii="Arial" w:eastAsia="Times New Roman" w:hAnsi="Arial" w:cs="Arial"/>
          <w:b/>
          <w:bCs/>
          <w:color w:val="000000"/>
          <w:sz w:val="23"/>
          <w:szCs w:val="23"/>
          <w:lang w:eastAsia="fr-FR"/>
        </w:rPr>
        <w:t>Article 71 </w:t>
      </w:r>
      <w:hyperlink r:id="rId299" w:tooltip="En savoir plus sur l'article 7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général des collectivités territoriales est ainsi modifié :</w:t>
      </w:r>
      <w:r w:rsidRPr="00874A27">
        <w:rPr>
          <w:rFonts w:ascii="Arial" w:eastAsia="Times New Roman" w:hAnsi="Arial" w:cs="Arial"/>
          <w:color w:val="000000"/>
          <w:sz w:val="19"/>
          <w:szCs w:val="19"/>
          <w:lang w:eastAsia="fr-FR"/>
        </w:rPr>
        <w:br/>
        <w:t>1° Le premier alinéa de l'article L. 2243-2est ainsi modifié :</w:t>
      </w:r>
      <w:r w:rsidRPr="00874A27">
        <w:rPr>
          <w:rFonts w:ascii="Arial" w:eastAsia="Times New Roman" w:hAnsi="Arial" w:cs="Arial"/>
          <w:color w:val="000000"/>
          <w:sz w:val="19"/>
          <w:szCs w:val="19"/>
          <w:lang w:eastAsia="fr-FR"/>
        </w:rPr>
        <w:br/>
        <w:t>a) A la première phrase, après le mot : « recherche », sont insérés les mots : « dans le fichier immobilier ou au livre foncier » ;</w:t>
      </w:r>
      <w:r w:rsidRPr="00874A27">
        <w:rPr>
          <w:rFonts w:ascii="Arial" w:eastAsia="Times New Roman" w:hAnsi="Arial" w:cs="Arial"/>
          <w:color w:val="000000"/>
          <w:sz w:val="19"/>
          <w:szCs w:val="19"/>
          <w:lang w:eastAsia="fr-FR"/>
        </w:rPr>
        <w:br/>
        <w:t>b) La seconde phrase est ainsi rédigée :</w:t>
      </w:r>
      <w:r w:rsidRPr="00874A27">
        <w:rPr>
          <w:rFonts w:ascii="Arial" w:eastAsia="Times New Roman" w:hAnsi="Arial" w:cs="Arial"/>
          <w:color w:val="000000"/>
          <w:sz w:val="19"/>
          <w:szCs w:val="19"/>
          <w:lang w:eastAsia="fr-FR"/>
        </w:rPr>
        <w:br/>
        <w:t>« Ce procès-verbal indique la nature des désordres affectant le bien auxquels il convient de remédier pour faire cesser l'état d'abandon manifeste. » ;</w:t>
      </w:r>
      <w:r w:rsidRPr="00874A27">
        <w:rPr>
          <w:rFonts w:ascii="Arial" w:eastAsia="Times New Roman" w:hAnsi="Arial" w:cs="Arial"/>
          <w:color w:val="000000"/>
          <w:sz w:val="19"/>
          <w:szCs w:val="19"/>
          <w:lang w:eastAsia="fr-FR"/>
        </w:rPr>
        <w:br/>
        <w:t>2° A la première phrase du premier alinéa de l'article L. 2243-3, le mot : « six » est remplacé par le mot : « trois » ;</w:t>
      </w:r>
      <w:r w:rsidRPr="00874A27">
        <w:rPr>
          <w:rFonts w:ascii="Arial" w:eastAsia="Times New Roman" w:hAnsi="Arial" w:cs="Arial"/>
          <w:color w:val="000000"/>
          <w:sz w:val="19"/>
          <w:szCs w:val="19"/>
          <w:lang w:eastAsia="fr-FR"/>
        </w:rPr>
        <w:br/>
        <w:t>3° L'article L. 2243-4 est ainsi modifié :</w:t>
      </w:r>
      <w:r w:rsidRPr="00874A27">
        <w:rPr>
          <w:rFonts w:ascii="Arial" w:eastAsia="Times New Roman" w:hAnsi="Arial" w:cs="Arial"/>
          <w:color w:val="000000"/>
          <w:sz w:val="19"/>
          <w:szCs w:val="19"/>
          <w:lang w:eastAsia="fr-FR"/>
        </w:rPr>
        <w:br/>
        <w:t>a) Après le deuxième alinéa, il est inséré un alinéa ainsi rédigé :</w:t>
      </w:r>
      <w:r w:rsidRPr="00874A27">
        <w:rPr>
          <w:rFonts w:ascii="Arial" w:eastAsia="Times New Roman" w:hAnsi="Arial" w:cs="Arial"/>
          <w:color w:val="000000"/>
          <w:sz w:val="19"/>
          <w:szCs w:val="19"/>
          <w:lang w:eastAsia="fr-FR"/>
        </w:rPr>
        <w:br/>
        <w:t xml:space="preserve">« Sur demande du maire ou si celui-ci n'engage pas la procédure mentionnée au deuxième alinéa dans un délai de six mois à compter de la déclaration d'état d'abandon manifeste, le président de l'établissement public de coopération intercommunale compétent en matière d'habitat ou du conseil général du lieu de situation du bien peut constituer un dossier présentant le projet simplifié d'acquisition publique, ainsi que l'évaluation sommaire de son coût, qui est mis à la disposition du </w:t>
      </w:r>
      <w:r w:rsidRPr="00874A27">
        <w:rPr>
          <w:rFonts w:ascii="Arial" w:eastAsia="Times New Roman" w:hAnsi="Arial" w:cs="Arial"/>
          <w:color w:val="000000"/>
          <w:sz w:val="19"/>
          <w:szCs w:val="19"/>
          <w:lang w:eastAsia="fr-FR"/>
        </w:rPr>
        <w:lastRenderedPageBreak/>
        <w:t>public, pendant une durée minimale d'un mois, appelé à formuler ses observations dans des conditions précisées par la délibération de l'organe délibérant de l'établissement public de coopération intercommunale ou du département. » ;</w:t>
      </w:r>
      <w:r w:rsidRPr="00874A27">
        <w:rPr>
          <w:rFonts w:ascii="Arial" w:eastAsia="Times New Roman" w:hAnsi="Arial" w:cs="Arial"/>
          <w:color w:val="000000"/>
          <w:sz w:val="19"/>
          <w:szCs w:val="19"/>
          <w:lang w:eastAsia="fr-FR"/>
        </w:rPr>
        <w:br/>
        <w:t>b) Au 1°, la référence : « au deuxième alinéa » est remplacée par la référence : « aux deuxième ou troisième alinéas ».</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4 : Réformer la procédure de carence</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71" w:name="JORFARTI000028773823"/>
      <w:bookmarkEnd w:id="71"/>
      <w:r w:rsidRPr="00874A27">
        <w:rPr>
          <w:rFonts w:ascii="Arial" w:eastAsia="Times New Roman" w:hAnsi="Arial" w:cs="Arial"/>
          <w:b/>
          <w:bCs/>
          <w:color w:val="000000"/>
          <w:sz w:val="23"/>
          <w:szCs w:val="23"/>
          <w:lang w:eastAsia="fr-FR"/>
        </w:rPr>
        <w:t>Article 72 </w:t>
      </w:r>
      <w:hyperlink r:id="rId300" w:tooltip="En savoir plus sur l'article 7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chapitre V du titre Ier du livre VI du code de la construction et de l'habitation est ainsi modifié :</w:t>
      </w:r>
      <w:r w:rsidRPr="00874A27">
        <w:rPr>
          <w:rFonts w:ascii="Arial" w:eastAsia="Times New Roman" w:hAnsi="Arial" w:cs="Arial"/>
          <w:color w:val="000000"/>
          <w:sz w:val="19"/>
          <w:szCs w:val="19"/>
          <w:lang w:eastAsia="fr-FR"/>
        </w:rPr>
        <w:br/>
        <w:t>1° L'article L. 615-6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au début, est ajoutée la mention : « I. ― » ;</w:t>
      </w:r>
      <w:r w:rsidRPr="00874A27">
        <w:rPr>
          <w:rFonts w:ascii="Arial" w:eastAsia="Times New Roman" w:hAnsi="Arial" w:cs="Arial"/>
          <w:color w:val="000000"/>
          <w:sz w:val="19"/>
          <w:szCs w:val="19"/>
          <w:lang w:eastAsia="fr-FR"/>
        </w:rPr>
        <w:br/>
        <w:t>― à la première phrase, après le mot : « sécurité », sont insérés les mots : « et la santé » et, après le mot : « constater », sont insérés les mots : «, dans un délai fixé par le juge, qui ne peut excéder trois mois, renouvelable une fois, » ;</w:t>
      </w:r>
      <w:r w:rsidRPr="00874A27">
        <w:rPr>
          <w:rFonts w:ascii="Arial" w:eastAsia="Times New Roman" w:hAnsi="Arial" w:cs="Arial"/>
          <w:color w:val="000000"/>
          <w:sz w:val="19"/>
          <w:szCs w:val="19"/>
          <w:lang w:eastAsia="fr-FR"/>
        </w:rPr>
        <w:br/>
        <w:t>― à la fin de la même phrase, les mots : « ainsi que la nature et l'importance des travaux à mettre en œuvre » sont remplacés par les mots et deux phrases ainsi rédigées : «, la répartition des dettes par copropriétaire ainsi que la nature et l'état des parties communes et, conséquemment, la nature et le coût des travaux à mettre en œuvre pour garantir la santé et la sécurité des occupants. L'expert est tenu de signaler en annexe de son rapport d'expertise les désordres dans les parties privatives affectant la sécurité et la santé des personnes qu'il constate au cours de sa mission. L'absence de cette annexe ou le contenu de cette dernière ne peuvent être invoqués pour contester la validité de la procédure ou les conclusions de l'expertise. » ;</w:t>
      </w:r>
      <w:r w:rsidRPr="00874A27">
        <w:rPr>
          <w:rFonts w:ascii="Arial" w:eastAsia="Times New Roman" w:hAnsi="Arial" w:cs="Arial"/>
          <w:color w:val="000000"/>
          <w:sz w:val="19"/>
          <w:szCs w:val="19"/>
          <w:lang w:eastAsia="fr-FR"/>
        </w:rPr>
        <w:br/>
        <w:t>b) Après le premier alinéa, il est inséré un II ainsi rédigé :</w:t>
      </w:r>
      <w:r w:rsidRPr="00874A27">
        <w:rPr>
          <w:rFonts w:ascii="Arial" w:eastAsia="Times New Roman" w:hAnsi="Arial" w:cs="Arial"/>
          <w:color w:val="000000"/>
          <w:sz w:val="19"/>
          <w:szCs w:val="19"/>
          <w:lang w:eastAsia="fr-FR"/>
        </w:rPr>
        <w:br/>
        <w:t>« II. ― Lorsque la saisine est effectuée par le maire ou le président de l'établissement public de coopération intercommunale compétent en matière d'habitat, il présente pour information à la première assemblée délibérante suivant la saisine le projet simplifié d'acquisition publique en vue soit de l'expropriation des parties communes dans les conditions définies à l'article L. 615-10, soit de la réhabilitation aux fins d'habitat ou d'un autre usage, soit de la démolition totale ou partielle de l'immeuble concerné. Le projet comporte également une évaluation sommaire de son coût ainsi qu'un plan de relogement des occupants concernés remplissant les conditions précisées au chapitre IV du titre Ier du livre III du code de l'urbanisme et précise la collectivité publique ou l'organisme au profit duquel est demandée l'expropriation. » ;</w:t>
      </w:r>
      <w:r w:rsidRPr="00874A27">
        <w:rPr>
          <w:rFonts w:ascii="Arial" w:eastAsia="Times New Roman" w:hAnsi="Arial" w:cs="Arial"/>
          <w:color w:val="000000"/>
          <w:sz w:val="19"/>
          <w:szCs w:val="19"/>
          <w:lang w:eastAsia="fr-FR"/>
        </w:rPr>
        <w:br/>
        <w:t>c) Au début du deuxième alinéa, est ajoutée la mention : « III. ― » ;</w:t>
      </w:r>
      <w:r w:rsidRPr="00874A27">
        <w:rPr>
          <w:rFonts w:ascii="Arial" w:eastAsia="Times New Roman" w:hAnsi="Arial" w:cs="Arial"/>
          <w:color w:val="000000"/>
          <w:sz w:val="19"/>
          <w:szCs w:val="19"/>
          <w:lang w:eastAsia="fr-FR"/>
        </w:rPr>
        <w:br/>
        <w:t>d) Après le deuxième alinéa, il est inséré un alinéa ainsi rédigé :</w:t>
      </w:r>
      <w:r w:rsidRPr="00874A27">
        <w:rPr>
          <w:rFonts w:ascii="Arial" w:eastAsia="Times New Roman" w:hAnsi="Arial" w:cs="Arial"/>
          <w:color w:val="000000"/>
          <w:sz w:val="19"/>
          <w:szCs w:val="19"/>
          <w:lang w:eastAsia="fr-FR"/>
        </w:rPr>
        <w:br/>
        <w:t>« La notification des conclusions de l'expertise judiciaire vaut signalement à l'autorité publique compétente dans le cadre des procédures prévues aux </w:t>
      </w:r>
      <w:hyperlink r:id="rId301" w:history="1">
        <w:r w:rsidRPr="00874A27">
          <w:rPr>
            <w:rFonts w:ascii="Arial" w:eastAsia="Times New Roman" w:hAnsi="Arial" w:cs="Arial"/>
            <w:color w:val="336699"/>
            <w:sz w:val="19"/>
            <w:szCs w:val="19"/>
            <w:u w:val="single"/>
            <w:lang w:eastAsia="fr-FR"/>
          </w:rPr>
          <w:t>articles L. 1331-22 à L. 1331-30 du code de la santé publique </w:t>
        </w:r>
      </w:hyperlink>
      <w:r w:rsidRPr="00874A27">
        <w:rPr>
          <w:rFonts w:ascii="Arial" w:eastAsia="Times New Roman" w:hAnsi="Arial" w:cs="Arial"/>
          <w:color w:val="000000"/>
          <w:sz w:val="19"/>
          <w:szCs w:val="19"/>
          <w:lang w:eastAsia="fr-FR"/>
        </w:rPr>
        <w:t>et L. 123-3, L. 123-4, L. 129-1 à L. 129-6, L. 511-1 à L. 511-4, L. 511-5 et L. 511-6 du présent code. » ;</w:t>
      </w:r>
      <w:r w:rsidRPr="00874A27">
        <w:rPr>
          <w:rFonts w:ascii="Arial" w:eastAsia="Times New Roman" w:hAnsi="Arial" w:cs="Arial"/>
          <w:color w:val="000000"/>
          <w:sz w:val="19"/>
          <w:szCs w:val="19"/>
          <w:lang w:eastAsia="fr-FR"/>
        </w:rPr>
        <w:br/>
        <w:t>e) Le quatrième alinéa est ainsi modifié :</w:t>
      </w:r>
      <w:r w:rsidRPr="00874A27">
        <w:rPr>
          <w:rFonts w:ascii="Arial" w:eastAsia="Times New Roman" w:hAnsi="Arial" w:cs="Arial"/>
          <w:color w:val="000000"/>
          <w:sz w:val="19"/>
          <w:szCs w:val="19"/>
          <w:lang w:eastAsia="fr-FR"/>
        </w:rPr>
        <w:br/>
        <w:t>― au début, est ajoutée la mention : « IV. ― » ;</w:t>
      </w:r>
      <w:r w:rsidRPr="00874A27">
        <w:rPr>
          <w:rFonts w:ascii="Arial" w:eastAsia="Times New Roman" w:hAnsi="Arial" w:cs="Arial"/>
          <w:color w:val="000000"/>
          <w:sz w:val="19"/>
          <w:szCs w:val="19"/>
          <w:lang w:eastAsia="fr-FR"/>
        </w:rPr>
        <w:br/>
        <w:t>― après le mot : « saisine, », sont insérés les mots : « à l'organisme payeur des allocations de logement mentionnées aux articles </w:t>
      </w:r>
      <w:hyperlink r:id="rId302" w:history="1">
        <w:r w:rsidRPr="00874A27">
          <w:rPr>
            <w:rFonts w:ascii="Arial" w:eastAsia="Times New Roman" w:hAnsi="Arial" w:cs="Arial"/>
            <w:color w:val="336699"/>
            <w:sz w:val="19"/>
            <w:szCs w:val="19"/>
            <w:u w:val="single"/>
            <w:lang w:eastAsia="fr-FR"/>
          </w:rPr>
          <w:t>L. 542-1 </w:t>
        </w:r>
      </w:hyperlink>
      <w:r w:rsidRPr="00874A27">
        <w:rPr>
          <w:rFonts w:ascii="Arial" w:eastAsia="Times New Roman" w:hAnsi="Arial" w:cs="Arial"/>
          <w:color w:val="000000"/>
          <w:sz w:val="19"/>
          <w:szCs w:val="19"/>
          <w:lang w:eastAsia="fr-FR"/>
        </w:rPr>
        <w:t>et </w:t>
      </w:r>
      <w:hyperlink r:id="rId303" w:history="1">
        <w:r w:rsidRPr="00874A27">
          <w:rPr>
            <w:rFonts w:ascii="Arial" w:eastAsia="Times New Roman" w:hAnsi="Arial" w:cs="Arial"/>
            <w:color w:val="336699"/>
            <w:sz w:val="19"/>
            <w:szCs w:val="19"/>
            <w:u w:val="single"/>
            <w:lang w:eastAsia="fr-FR"/>
          </w:rPr>
          <w:t>L. 831-1 </w:t>
        </w:r>
      </w:hyperlink>
      <w:r w:rsidRPr="00874A27">
        <w:rPr>
          <w:rFonts w:ascii="Arial" w:eastAsia="Times New Roman" w:hAnsi="Arial" w:cs="Arial"/>
          <w:color w:val="000000"/>
          <w:sz w:val="19"/>
          <w:szCs w:val="19"/>
          <w:lang w:eastAsia="fr-FR"/>
        </w:rPr>
        <w:t>du code de la sécurité sociale, » ;</w:t>
      </w:r>
      <w:r w:rsidRPr="00874A27">
        <w:rPr>
          <w:rFonts w:ascii="Arial" w:eastAsia="Times New Roman" w:hAnsi="Arial" w:cs="Arial"/>
          <w:color w:val="000000"/>
          <w:sz w:val="19"/>
          <w:szCs w:val="19"/>
          <w:lang w:eastAsia="fr-FR"/>
        </w:rPr>
        <w:br/>
        <w:t>f) Sont ajoutés des V à VIII ainsi rédigés :</w:t>
      </w:r>
      <w:r w:rsidRPr="00874A27">
        <w:rPr>
          <w:rFonts w:ascii="Arial" w:eastAsia="Times New Roman" w:hAnsi="Arial" w:cs="Arial"/>
          <w:color w:val="000000"/>
          <w:sz w:val="19"/>
          <w:szCs w:val="19"/>
          <w:lang w:eastAsia="fr-FR"/>
        </w:rPr>
        <w:br/>
        <w:t>« V. ― Au cours de la première assemblée délibérante suivant l'ordonnance du président du tribunal de grande instance, le maire ou le président de l'établissement public de coopération intercommunale compétent en matière d'habitat fait approuver le projet simplifié mentionné au II, modifié le cas échéant pour tenir compte des observations de l'assemblée délibérante à l'issue de son information prévue au même II et des conclusions de l'expertise mentionnée au III, et le met à la disposition du public en vue de lui permettre de formuler ses observations pendant une durée minimale d'un mois, dans des conditions précisées par arrêté du maire ou du président de l'établissement public de coopération intercommunale.</w:t>
      </w:r>
      <w:r w:rsidRPr="00874A27">
        <w:rPr>
          <w:rFonts w:ascii="Arial" w:eastAsia="Times New Roman" w:hAnsi="Arial" w:cs="Arial"/>
          <w:color w:val="000000"/>
          <w:sz w:val="19"/>
          <w:szCs w:val="19"/>
          <w:lang w:eastAsia="fr-FR"/>
        </w:rPr>
        <w:br/>
        <w:t>« VI. ― Le cas échéant, dans l'ordonnance prononçant l'état de carence, le président du tribunal de grande instance désigne un administrateur provisoire mentionné à l'article 29-1 de la loi n° 65-557 du 10 juillet 1965 précitée pour préparer la liquidation des dettes de la copropriété et assurer les interventions urgentes de mise en sécurité.</w:t>
      </w:r>
      <w:r w:rsidRPr="00874A27">
        <w:rPr>
          <w:rFonts w:ascii="Arial" w:eastAsia="Times New Roman" w:hAnsi="Arial" w:cs="Arial"/>
          <w:color w:val="000000"/>
          <w:sz w:val="19"/>
          <w:szCs w:val="19"/>
          <w:lang w:eastAsia="fr-FR"/>
        </w:rPr>
        <w:br/>
        <w:t xml:space="preserve">« Sans préjudice des dispositions des articles L. 615-7 à L. 615-10 du présent code, la personnalité morale du syndicat subsiste après expropriation pour les besoins de la liquidation des dettes jusqu'à </w:t>
      </w:r>
      <w:r w:rsidRPr="00874A27">
        <w:rPr>
          <w:rFonts w:ascii="Arial" w:eastAsia="Times New Roman" w:hAnsi="Arial" w:cs="Arial"/>
          <w:color w:val="000000"/>
          <w:sz w:val="19"/>
          <w:szCs w:val="19"/>
          <w:lang w:eastAsia="fr-FR"/>
        </w:rPr>
        <w:lastRenderedPageBreak/>
        <w:t>ce que le président du tribunal de grande instance mette fin à la mission de l'administrateur provisoire.</w:t>
      </w:r>
      <w:r w:rsidRPr="00874A27">
        <w:rPr>
          <w:rFonts w:ascii="Arial" w:eastAsia="Times New Roman" w:hAnsi="Arial" w:cs="Arial"/>
          <w:color w:val="000000"/>
          <w:sz w:val="19"/>
          <w:szCs w:val="19"/>
          <w:lang w:eastAsia="fr-FR"/>
        </w:rPr>
        <w:br/>
        <w:t>« VII. ― Sans qu'y fasse obstacle la nomination d'un administrateur provisoire, le syndicat des copropriétaires ou le syndic peuvent contester le prononcé de l'état de carence et la nomination d'un administrateur provisoire dans un délai de deux mois à compter de la notification de l'ordonnance de carence.</w:t>
      </w:r>
      <w:r w:rsidRPr="00874A27">
        <w:rPr>
          <w:rFonts w:ascii="Arial" w:eastAsia="Times New Roman" w:hAnsi="Arial" w:cs="Arial"/>
          <w:color w:val="000000"/>
          <w:sz w:val="19"/>
          <w:szCs w:val="19"/>
          <w:lang w:eastAsia="fr-FR"/>
        </w:rPr>
        <w:br/>
        <w:t>« VIII. ― La procédure décrite au présent article peut être menée à l'encontre d'un syndicat secondaire. » ;</w:t>
      </w:r>
      <w:r w:rsidRPr="00874A27">
        <w:rPr>
          <w:rFonts w:ascii="Arial" w:eastAsia="Times New Roman" w:hAnsi="Arial" w:cs="Arial"/>
          <w:color w:val="000000"/>
          <w:sz w:val="19"/>
          <w:szCs w:val="19"/>
          <w:lang w:eastAsia="fr-FR"/>
        </w:rPr>
        <w:br/>
        <w:t>2° L'article L. 615-7 est ainsi modifié :</w:t>
      </w:r>
      <w:r w:rsidRPr="00874A27">
        <w:rPr>
          <w:rFonts w:ascii="Arial" w:eastAsia="Times New Roman" w:hAnsi="Arial" w:cs="Arial"/>
          <w:color w:val="000000"/>
          <w:sz w:val="19"/>
          <w:szCs w:val="19"/>
          <w:lang w:eastAsia="fr-FR"/>
        </w:rPr>
        <w:br/>
        <w:t>a) Au premier alinéa, après les mots : « d'habitat, », sont insérés les mots : « de l'opérateur mentionné à l'article L. 615-10, de l'organisme ayant vocation à assurer la gestion des parties communes expropriées, » ;</w:t>
      </w:r>
      <w:r w:rsidRPr="00874A27">
        <w:rPr>
          <w:rFonts w:ascii="Arial" w:eastAsia="Times New Roman" w:hAnsi="Arial" w:cs="Arial"/>
          <w:color w:val="000000"/>
          <w:sz w:val="19"/>
          <w:szCs w:val="19"/>
          <w:lang w:eastAsia="fr-FR"/>
        </w:rPr>
        <w:br/>
        <w:t>b) Les deuxième à quatrième alinéas sont supprimés ;</w:t>
      </w:r>
      <w:r w:rsidRPr="00874A27">
        <w:rPr>
          <w:rFonts w:ascii="Arial" w:eastAsia="Times New Roman" w:hAnsi="Arial" w:cs="Arial"/>
          <w:color w:val="000000"/>
          <w:sz w:val="19"/>
          <w:szCs w:val="19"/>
          <w:lang w:eastAsia="fr-FR"/>
        </w:rPr>
        <w:br/>
        <w:t>c) Au début des sixième, septième, huitième, neuvième et dixième alinéas, sont ajoutées, respectivement, les mentions : « 1° », « 2° », « 3° », « 4° » et « 5° » ;</w:t>
      </w:r>
      <w:r w:rsidRPr="00874A27">
        <w:rPr>
          <w:rFonts w:ascii="Arial" w:eastAsia="Times New Roman" w:hAnsi="Arial" w:cs="Arial"/>
          <w:color w:val="000000"/>
          <w:sz w:val="19"/>
          <w:szCs w:val="19"/>
          <w:lang w:eastAsia="fr-FR"/>
        </w:rPr>
        <w:br/>
        <w:t>d) Au sixième alinéa, les mots : « d'acquisition » sont remplacés par les mots : « mentionné au V de l'article L. 615-6 » et, après les mots : « parties d'immeubles, », sont insérés les mots : « des parties communes, » ;</w:t>
      </w:r>
      <w:r w:rsidRPr="00874A27">
        <w:rPr>
          <w:rFonts w:ascii="Arial" w:eastAsia="Times New Roman" w:hAnsi="Arial" w:cs="Arial"/>
          <w:color w:val="000000"/>
          <w:sz w:val="19"/>
          <w:szCs w:val="19"/>
          <w:lang w:eastAsia="fr-FR"/>
        </w:rPr>
        <w:br/>
        <w:t>e) Au septième alinéa, après les mots : « parties d'immeubles, », sont insérés les mots : « des parties communes, » ;</w:t>
      </w:r>
      <w:r w:rsidRPr="00874A27">
        <w:rPr>
          <w:rFonts w:ascii="Arial" w:eastAsia="Times New Roman" w:hAnsi="Arial" w:cs="Arial"/>
          <w:color w:val="000000"/>
          <w:sz w:val="19"/>
          <w:szCs w:val="19"/>
          <w:lang w:eastAsia="fr-FR"/>
        </w:rPr>
        <w:br/>
        <w:t>f) Le dixième alinéa est ainsi modifié :</w:t>
      </w:r>
      <w:r w:rsidRPr="00874A27">
        <w:rPr>
          <w:rFonts w:ascii="Arial" w:eastAsia="Times New Roman" w:hAnsi="Arial" w:cs="Arial"/>
          <w:color w:val="000000"/>
          <w:sz w:val="19"/>
          <w:szCs w:val="19"/>
          <w:lang w:eastAsia="fr-FR"/>
        </w:rPr>
        <w:br/>
        <w:t>― au début de la première phrase, le mot : « détermine » est remplacé par le mot : « fixe » ;</w:t>
      </w:r>
      <w:r w:rsidRPr="00874A27">
        <w:rPr>
          <w:rFonts w:ascii="Arial" w:eastAsia="Times New Roman" w:hAnsi="Arial" w:cs="Arial"/>
          <w:color w:val="000000"/>
          <w:sz w:val="19"/>
          <w:szCs w:val="19"/>
          <w:lang w:eastAsia="fr-FR"/>
        </w:rPr>
        <w:br/>
        <w:t>― après les mots : « parties d'immeubles, », sont insérés les mots : « des parties communes, » ;</w:t>
      </w:r>
      <w:r w:rsidRPr="00874A27">
        <w:rPr>
          <w:rFonts w:ascii="Arial" w:eastAsia="Times New Roman" w:hAnsi="Arial" w:cs="Arial"/>
          <w:color w:val="000000"/>
          <w:sz w:val="19"/>
          <w:szCs w:val="19"/>
          <w:lang w:eastAsia="fr-FR"/>
        </w:rPr>
        <w:br/>
        <w:t>― à la fin de la seconde phrase, les mots : « déclaration d'utilité publique » sont remplacés par les mots : « publication de l'arrêté déclarant l'utilité publique du projet » ;</w:t>
      </w:r>
      <w:r w:rsidRPr="00874A27">
        <w:rPr>
          <w:rFonts w:ascii="Arial" w:eastAsia="Times New Roman" w:hAnsi="Arial" w:cs="Arial"/>
          <w:color w:val="000000"/>
          <w:sz w:val="19"/>
          <w:szCs w:val="19"/>
          <w:lang w:eastAsia="fr-FR"/>
        </w:rPr>
        <w:br/>
        <w:t>g) Les onzième et avant-dernier alinéas sont remplacés par un alinéa ainsi rédigé :</w:t>
      </w:r>
      <w:r w:rsidRPr="00874A27">
        <w:rPr>
          <w:rFonts w:ascii="Arial" w:eastAsia="Times New Roman" w:hAnsi="Arial" w:cs="Arial"/>
          <w:color w:val="000000"/>
          <w:sz w:val="19"/>
          <w:szCs w:val="19"/>
          <w:lang w:eastAsia="fr-FR"/>
        </w:rPr>
        <w:br/>
        <w:t>« Cet arrêté est publié au recueil des actes administratifs du département et affiché à la mairie du lieu de situation des biens. L'expropriant le notifie aux propriétaires et aux titulaires de droits réels immobiliers. » ;</w:t>
      </w:r>
      <w:r w:rsidRPr="00874A27">
        <w:rPr>
          <w:rFonts w:ascii="Arial" w:eastAsia="Times New Roman" w:hAnsi="Arial" w:cs="Arial"/>
          <w:color w:val="000000"/>
          <w:sz w:val="19"/>
          <w:szCs w:val="19"/>
          <w:lang w:eastAsia="fr-FR"/>
        </w:rPr>
        <w:br/>
        <w:t>h) Au dernier alinéa, les mots : « le représentant de l'Etat dans le département » sont remplacés par les mots : « l'expropriant » ;</w:t>
      </w:r>
      <w:r w:rsidRPr="00874A27">
        <w:rPr>
          <w:rFonts w:ascii="Arial" w:eastAsia="Times New Roman" w:hAnsi="Arial" w:cs="Arial"/>
          <w:color w:val="000000"/>
          <w:sz w:val="19"/>
          <w:szCs w:val="19"/>
          <w:lang w:eastAsia="fr-FR"/>
        </w:rPr>
        <w:br/>
        <w:t>3° L'article L. 615-8 est ainsi modifié :</w:t>
      </w:r>
      <w:r w:rsidRPr="00874A27">
        <w:rPr>
          <w:rFonts w:ascii="Arial" w:eastAsia="Times New Roman" w:hAnsi="Arial" w:cs="Arial"/>
          <w:color w:val="000000"/>
          <w:sz w:val="19"/>
          <w:szCs w:val="19"/>
          <w:lang w:eastAsia="fr-FR"/>
        </w:rPr>
        <w:br/>
        <w:t>a) Au second alinéa, les mots : « ainsi que l'indemnisation des propriétaires » sont supprimés ;</w:t>
      </w:r>
      <w:r w:rsidRPr="00874A27">
        <w:rPr>
          <w:rFonts w:ascii="Arial" w:eastAsia="Times New Roman" w:hAnsi="Arial" w:cs="Arial"/>
          <w:color w:val="000000"/>
          <w:sz w:val="19"/>
          <w:szCs w:val="19"/>
          <w:lang w:eastAsia="fr-FR"/>
        </w:rPr>
        <w:br/>
        <w:t>b) Sont ajoutés deux alinéas ainsi rédigés :</w:t>
      </w:r>
      <w:r w:rsidRPr="00874A27">
        <w:rPr>
          <w:rFonts w:ascii="Arial" w:eastAsia="Times New Roman" w:hAnsi="Arial" w:cs="Arial"/>
          <w:color w:val="000000"/>
          <w:sz w:val="19"/>
          <w:szCs w:val="19"/>
          <w:lang w:eastAsia="fr-FR"/>
        </w:rPr>
        <w:br/>
        <w:t>« L'indemnité d'expropriation est fixée selon la procédure prévue aux articles L. 13-1 à L. 13-12 du code de l'expropriation pour cause d'utilité publique et est calculée conformément aux articles L. 13-14 à L. 13-20 du même code.</w:t>
      </w:r>
      <w:r w:rsidRPr="00874A27">
        <w:rPr>
          <w:rFonts w:ascii="Arial" w:eastAsia="Times New Roman" w:hAnsi="Arial" w:cs="Arial"/>
          <w:color w:val="000000"/>
          <w:sz w:val="19"/>
          <w:szCs w:val="19"/>
          <w:lang w:eastAsia="fr-FR"/>
        </w:rPr>
        <w:br/>
        <w:t>« La valeur des biens est appréciée en tenant compte du montant des travaux nécessaires à la conservation de l'immeuble mentionnés dans le rapport d'expertise prévu à l'article L. 615-6 du présent code et, le cas échéant, du coût des travaux prescrits sur les logements par des arrêtés pris sur le fondement des articles L. 1331-26 et suivants du code de la santé publique et de l'article L. 511-2 du présent code. » ;</w:t>
      </w:r>
      <w:r w:rsidRPr="00874A27">
        <w:rPr>
          <w:rFonts w:ascii="Arial" w:eastAsia="Times New Roman" w:hAnsi="Arial" w:cs="Arial"/>
          <w:color w:val="000000"/>
          <w:sz w:val="19"/>
          <w:szCs w:val="19"/>
          <w:lang w:eastAsia="fr-FR"/>
        </w:rPr>
        <w:br/>
        <w:t>4° Sont ajoutés des articles L. 615-9 et L. 615-10 ainsi rédigés :</w:t>
      </w:r>
      <w:r w:rsidRPr="00874A27">
        <w:rPr>
          <w:rFonts w:ascii="Arial" w:eastAsia="Times New Roman" w:hAnsi="Arial" w:cs="Arial"/>
          <w:color w:val="000000"/>
          <w:sz w:val="19"/>
          <w:szCs w:val="19"/>
          <w:lang w:eastAsia="fr-FR"/>
        </w:rPr>
        <w:br/>
        <w:t>« Art. L. 615-9.-Pour les propriétaires occupants, l'indemnité d'occupation versée à l'expropriant ouvre droit aux allocations de logement prévues aux articles </w:t>
      </w:r>
      <w:hyperlink r:id="rId304" w:history="1">
        <w:r w:rsidRPr="00874A27">
          <w:rPr>
            <w:rFonts w:ascii="Arial" w:eastAsia="Times New Roman" w:hAnsi="Arial" w:cs="Arial"/>
            <w:color w:val="336699"/>
            <w:sz w:val="19"/>
            <w:szCs w:val="19"/>
            <w:u w:val="single"/>
            <w:lang w:eastAsia="fr-FR"/>
          </w:rPr>
          <w:t>L. 542-1 à L. 542-9 </w:t>
        </w:r>
      </w:hyperlink>
      <w:r w:rsidRPr="00874A27">
        <w:rPr>
          <w:rFonts w:ascii="Arial" w:eastAsia="Times New Roman" w:hAnsi="Arial" w:cs="Arial"/>
          <w:color w:val="000000"/>
          <w:sz w:val="19"/>
          <w:szCs w:val="19"/>
          <w:lang w:eastAsia="fr-FR"/>
        </w:rPr>
        <w:t>et </w:t>
      </w:r>
      <w:hyperlink r:id="rId305" w:history="1">
        <w:r w:rsidRPr="00874A27">
          <w:rPr>
            <w:rFonts w:ascii="Arial" w:eastAsia="Times New Roman" w:hAnsi="Arial" w:cs="Arial"/>
            <w:color w:val="336699"/>
            <w:sz w:val="19"/>
            <w:szCs w:val="19"/>
            <w:u w:val="single"/>
            <w:lang w:eastAsia="fr-FR"/>
          </w:rPr>
          <w:t>L. 831-1 à L. 835-7 </w:t>
        </w:r>
      </w:hyperlink>
      <w:r w:rsidRPr="00874A27">
        <w:rPr>
          <w:rFonts w:ascii="Arial" w:eastAsia="Times New Roman" w:hAnsi="Arial" w:cs="Arial"/>
          <w:color w:val="000000"/>
          <w:sz w:val="19"/>
          <w:szCs w:val="19"/>
          <w:lang w:eastAsia="fr-FR"/>
        </w:rPr>
        <w:t>du code de la sécurité sociale.</w:t>
      </w:r>
      <w:r w:rsidRPr="00874A27">
        <w:rPr>
          <w:rFonts w:ascii="Arial" w:eastAsia="Times New Roman" w:hAnsi="Arial" w:cs="Arial"/>
          <w:color w:val="000000"/>
          <w:sz w:val="19"/>
          <w:szCs w:val="19"/>
          <w:lang w:eastAsia="fr-FR"/>
        </w:rPr>
        <w:br/>
        <w:t>« Art. L. 615-10.-I. ― Par dérogation à l'</w:t>
      </w:r>
      <w:hyperlink r:id="rId306" w:history="1">
        <w:r w:rsidRPr="00874A27">
          <w:rPr>
            <w:rFonts w:ascii="Arial" w:eastAsia="Times New Roman" w:hAnsi="Arial" w:cs="Arial"/>
            <w:color w:val="336699"/>
            <w:sz w:val="19"/>
            <w:szCs w:val="19"/>
            <w:u w:val="single"/>
            <w:lang w:eastAsia="fr-FR"/>
          </w:rPr>
          <w:t>article 6 de la loi n° 65-557 du 10 juillet 1965 </w:t>
        </w:r>
      </w:hyperlink>
      <w:r w:rsidRPr="00874A27">
        <w:rPr>
          <w:rFonts w:ascii="Arial" w:eastAsia="Times New Roman" w:hAnsi="Arial" w:cs="Arial"/>
          <w:color w:val="000000"/>
          <w:sz w:val="19"/>
          <w:szCs w:val="19"/>
          <w:lang w:eastAsia="fr-FR"/>
        </w:rPr>
        <w:t>fixant le statut de la copropriété des immeubles bâtis, une possibilité d'expropriation des parties communes est instaurée à titre expérimental et pour une durée de dix ans à compter de la promulgation de la </w:t>
      </w:r>
      <w:hyperlink r:id="rId307" w:history="1">
        <w:r w:rsidRPr="00874A27">
          <w:rPr>
            <w:rFonts w:ascii="Arial" w:eastAsia="Times New Roman" w:hAnsi="Arial" w:cs="Arial"/>
            <w:color w:val="336699"/>
            <w:sz w:val="19"/>
            <w:szCs w:val="19"/>
            <w:u w:val="single"/>
            <w:lang w:eastAsia="fr-FR"/>
          </w:rPr>
          <w:t>loi n° 2014-366 du 24 mars 2014 </w:t>
        </w:r>
      </w:hyperlink>
      <w:r w:rsidRPr="00874A27">
        <w:rPr>
          <w:rFonts w:ascii="Arial" w:eastAsia="Times New Roman" w:hAnsi="Arial" w:cs="Arial"/>
          <w:color w:val="000000"/>
          <w:sz w:val="19"/>
          <w:szCs w:val="19"/>
          <w:lang w:eastAsia="fr-FR"/>
        </w:rPr>
        <w:t>pour l'accès au logement et un urbanisme rénové. Dans ce cas, l'</w:t>
      </w:r>
      <w:hyperlink r:id="rId308" w:history="1">
        <w:r w:rsidRPr="00874A27">
          <w:rPr>
            <w:rFonts w:ascii="Arial" w:eastAsia="Times New Roman" w:hAnsi="Arial" w:cs="Arial"/>
            <w:color w:val="336699"/>
            <w:sz w:val="19"/>
            <w:szCs w:val="19"/>
            <w:u w:val="single"/>
            <w:lang w:eastAsia="fr-FR"/>
          </w:rPr>
          <w:t>article L. 13-10 du code de l'expropriation pour cause d'utilité publique </w:t>
        </w:r>
      </w:hyperlink>
      <w:r w:rsidRPr="00874A27">
        <w:rPr>
          <w:rFonts w:ascii="Arial" w:eastAsia="Times New Roman" w:hAnsi="Arial" w:cs="Arial"/>
          <w:color w:val="000000"/>
          <w:sz w:val="19"/>
          <w:szCs w:val="19"/>
          <w:lang w:eastAsia="fr-FR"/>
        </w:rPr>
        <w:t>est applicable.</w:t>
      </w:r>
      <w:r w:rsidRPr="00874A27">
        <w:rPr>
          <w:rFonts w:ascii="Arial" w:eastAsia="Times New Roman" w:hAnsi="Arial" w:cs="Arial"/>
          <w:color w:val="000000"/>
          <w:sz w:val="19"/>
          <w:szCs w:val="19"/>
          <w:lang w:eastAsia="fr-FR"/>
        </w:rPr>
        <w:br/>
        <w:t>« II. ― Lorsque le projet mentionné au V de l'article L. 615-6 du présent code prévoit l'expropriation de l'ensemble des parties communes, la commune ou l'établissement public de coopération intercommunale compétent en matière d'habitat peut confier l'entretien de ces biens d'intérêt collectif à un opérateur ou désigner un opérateur au profit duquel l'expropriation est poursuivie.</w:t>
      </w:r>
      <w:r w:rsidRPr="00874A27">
        <w:rPr>
          <w:rFonts w:ascii="Arial" w:eastAsia="Times New Roman" w:hAnsi="Arial" w:cs="Arial"/>
          <w:color w:val="000000"/>
          <w:sz w:val="19"/>
          <w:szCs w:val="19"/>
          <w:lang w:eastAsia="fr-FR"/>
        </w:rPr>
        <w:br/>
        <w:t>« Au moment de l'établissement du contrat de concession ou de la prise de possession par l'opérateur, l'état descriptif de division de l'immeuble est mis à jour ou établi s'il n'existe pas. Aux biens privatifs mentionnés dans l'état de division est attachée une servitude des biens d'intérêt collectif. Les propriétaires de ces biens privatifs sont tenus de respecter un règlement d'usage établi par l'opérateur.</w:t>
      </w:r>
      <w:r w:rsidRPr="00874A27">
        <w:rPr>
          <w:rFonts w:ascii="Arial" w:eastAsia="Times New Roman" w:hAnsi="Arial" w:cs="Arial"/>
          <w:color w:val="000000"/>
          <w:sz w:val="19"/>
          <w:szCs w:val="19"/>
          <w:lang w:eastAsia="fr-FR"/>
        </w:rPr>
        <w:br/>
        <w:t xml:space="preserve">« En contrepartie de cette servitude, les propriétaires sont tenus de verser à l'opérateur une redevance mensuelle proportionnelle à la superficie de leurs parties privatives. Cette redevance, dont les modalités de révision sont prévues par décret, permet à l'opérateur de couvrir les dépenses nécessaires à l'entretien, à l'amélioration et à la conservation de parties communes de l'immeuble et </w:t>
      </w:r>
      <w:r w:rsidRPr="00874A27">
        <w:rPr>
          <w:rFonts w:ascii="Arial" w:eastAsia="Times New Roman" w:hAnsi="Arial" w:cs="Arial"/>
          <w:color w:val="000000"/>
          <w:sz w:val="19"/>
          <w:szCs w:val="19"/>
          <w:lang w:eastAsia="fr-FR"/>
        </w:rPr>
        <w:lastRenderedPageBreak/>
        <w:t>des équipements communs.</w:t>
      </w:r>
      <w:r w:rsidRPr="00874A27">
        <w:rPr>
          <w:rFonts w:ascii="Arial" w:eastAsia="Times New Roman" w:hAnsi="Arial" w:cs="Arial"/>
          <w:color w:val="000000"/>
          <w:sz w:val="19"/>
          <w:szCs w:val="19"/>
          <w:lang w:eastAsia="fr-FR"/>
        </w:rPr>
        <w:br/>
        <w:t>« Pour les propriétaires occupants, cette redevance ouvre droit aux allocations de logement prévues aux articles </w:t>
      </w:r>
      <w:hyperlink r:id="rId309" w:history="1">
        <w:r w:rsidRPr="00874A27">
          <w:rPr>
            <w:rFonts w:ascii="Arial" w:eastAsia="Times New Roman" w:hAnsi="Arial" w:cs="Arial"/>
            <w:color w:val="336699"/>
            <w:sz w:val="19"/>
            <w:szCs w:val="19"/>
            <w:u w:val="single"/>
            <w:lang w:eastAsia="fr-FR"/>
          </w:rPr>
          <w:t>L. 542-1 à L. 542-9 </w:t>
        </w:r>
      </w:hyperlink>
      <w:r w:rsidRPr="00874A27">
        <w:rPr>
          <w:rFonts w:ascii="Arial" w:eastAsia="Times New Roman" w:hAnsi="Arial" w:cs="Arial"/>
          <w:color w:val="000000"/>
          <w:sz w:val="19"/>
          <w:szCs w:val="19"/>
          <w:lang w:eastAsia="fr-FR"/>
        </w:rPr>
        <w:t>et </w:t>
      </w:r>
      <w:hyperlink r:id="rId310" w:history="1">
        <w:r w:rsidRPr="00874A27">
          <w:rPr>
            <w:rFonts w:ascii="Arial" w:eastAsia="Times New Roman" w:hAnsi="Arial" w:cs="Arial"/>
            <w:color w:val="336699"/>
            <w:sz w:val="19"/>
            <w:szCs w:val="19"/>
            <w:u w:val="single"/>
            <w:lang w:eastAsia="fr-FR"/>
          </w:rPr>
          <w:t>L. 831-1 à L. 835-7 </w:t>
        </w:r>
      </w:hyperlink>
      <w:r w:rsidRPr="00874A27">
        <w:rPr>
          <w:rFonts w:ascii="Arial" w:eastAsia="Times New Roman" w:hAnsi="Arial" w:cs="Arial"/>
          <w:color w:val="000000"/>
          <w:sz w:val="19"/>
          <w:szCs w:val="19"/>
          <w:lang w:eastAsia="fr-FR"/>
        </w:rPr>
        <w:t>du code de la sécurité sociale.</w:t>
      </w:r>
      <w:r w:rsidRPr="00874A27">
        <w:rPr>
          <w:rFonts w:ascii="Arial" w:eastAsia="Times New Roman" w:hAnsi="Arial" w:cs="Arial"/>
          <w:color w:val="000000"/>
          <w:sz w:val="19"/>
          <w:szCs w:val="19"/>
          <w:lang w:eastAsia="fr-FR"/>
        </w:rPr>
        <w:br/>
        <w:t>« III. ― L'opérateur est chargé d'entretenir et de veiller à la conservation des biens d'intérêt collectif. Il est responsable des dommages causés aux propriétaires de parties privatives ou aux tiers par le vice de construction ou le défaut d'entretien des biens d'intérêt collectif, sans préjudice de toutes actions récursoires.</w:t>
      </w:r>
      <w:r w:rsidRPr="00874A27">
        <w:rPr>
          <w:rFonts w:ascii="Arial" w:eastAsia="Times New Roman" w:hAnsi="Arial" w:cs="Arial"/>
          <w:color w:val="000000"/>
          <w:sz w:val="19"/>
          <w:szCs w:val="19"/>
          <w:lang w:eastAsia="fr-FR"/>
        </w:rPr>
        <w:br/>
        <w:t>« Il réalise un diagnostic technique des parties communes, établit un plan pluriannuel de travaux actualisé tous les trois ans et provisionne, dans sa comptabilité, des sommes en prévision de la réalisation des travaux.</w:t>
      </w:r>
      <w:r w:rsidRPr="00874A27">
        <w:rPr>
          <w:rFonts w:ascii="Arial" w:eastAsia="Times New Roman" w:hAnsi="Arial" w:cs="Arial"/>
          <w:color w:val="000000"/>
          <w:sz w:val="19"/>
          <w:szCs w:val="19"/>
          <w:lang w:eastAsia="fr-FR"/>
        </w:rPr>
        <w:br/>
        <w:t>« IV. ― Le droit de préemption urbain renforcé prévu à l'</w:t>
      </w:r>
      <w:hyperlink r:id="rId311" w:history="1">
        <w:r w:rsidRPr="00874A27">
          <w:rPr>
            <w:rFonts w:ascii="Arial" w:eastAsia="Times New Roman" w:hAnsi="Arial" w:cs="Arial"/>
            <w:color w:val="336699"/>
            <w:sz w:val="19"/>
            <w:szCs w:val="19"/>
            <w:u w:val="single"/>
            <w:lang w:eastAsia="fr-FR"/>
          </w:rPr>
          <w:t>article L. 211-4 du code de l'urbanisme </w:t>
        </w:r>
      </w:hyperlink>
      <w:r w:rsidRPr="00874A27">
        <w:rPr>
          <w:rFonts w:ascii="Arial" w:eastAsia="Times New Roman" w:hAnsi="Arial" w:cs="Arial"/>
          <w:color w:val="000000"/>
          <w:sz w:val="19"/>
          <w:szCs w:val="19"/>
          <w:lang w:eastAsia="fr-FR"/>
        </w:rPr>
        <w:t>peut lui être délégué.</w:t>
      </w:r>
      <w:r w:rsidRPr="00874A27">
        <w:rPr>
          <w:rFonts w:ascii="Arial" w:eastAsia="Times New Roman" w:hAnsi="Arial" w:cs="Arial"/>
          <w:color w:val="000000"/>
          <w:sz w:val="19"/>
          <w:szCs w:val="19"/>
          <w:lang w:eastAsia="fr-FR"/>
        </w:rPr>
        <w:br/>
        <w:t>« V. ― Dans le cadre de l'expérimentation prévue au présent article, en cas de déséquilibre financier important, l'opérateur peut demander à la commune ou à l'établissement public de coopération intercommunale compétent en matière d'habitat à l'origine de l'expérimentation de procéder à l'expropriation totale de l'immeuble. Un nouveau projet d'appropriation publique doit alors être approuvé dans les conditions prévues au V de l'article L. 615-6 du présent code. La procédure est poursuivie dans les conditions prévues à l'article L. 615-7.</w:t>
      </w:r>
      <w:r w:rsidRPr="00874A27">
        <w:rPr>
          <w:rFonts w:ascii="Arial" w:eastAsia="Times New Roman" w:hAnsi="Arial" w:cs="Arial"/>
          <w:color w:val="000000"/>
          <w:sz w:val="19"/>
          <w:szCs w:val="19"/>
          <w:lang w:eastAsia="fr-FR"/>
        </w:rPr>
        <w:br/>
        <w:t>« VI. ― Après avis favorable de la commune ou de l'établissement public de coopération intercommunale compétent en matière d'habitat à l'origine de l'expérimentation et des propriétaires des biens privatifs, l'immeuble peut faire l'objet d'une nouvelle mise en copropriété à la demande de l'opérateur. Les propriétaires versent alors une indemnité au propriétaire de ces biens d'intérêt collectif équivalente à la valeur initiale d'acquisition des parties communes ayant initialement fait l'objet de l'expropriation, majorée du coût des travaux réalisés, de laquelle est déduit le montant total des redevances versées à l'opérateur. Cette indemnité est répartie selon la quote-part des parties communes attribuée à chaque lot dans le projet de règlement de copropriété. »</w:t>
      </w:r>
      <w:r w:rsidRPr="00874A27">
        <w:rPr>
          <w:rFonts w:ascii="Arial" w:eastAsia="Times New Roman" w:hAnsi="Arial" w:cs="Arial"/>
          <w:color w:val="000000"/>
          <w:sz w:val="19"/>
          <w:szCs w:val="19"/>
          <w:lang w:eastAsia="fr-FR"/>
        </w:rPr>
        <w:br/>
        <w:t>II. ― Le 1° de l'article L. 542-2 et la seconde phrase du premier alinéa de l'article L. 831-1 du code de la sécurité sociale sont complétés par les mots : «, et l'indemnité d'occupation mentionnée à l'article L. 615-9 du code de la construction et de l'habitation et la redevance mentionnée à l'article L. 615-10 du même code ».</w:t>
      </w:r>
      <w:r w:rsidRPr="00874A27">
        <w:rPr>
          <w:rFonts w:ascii="Arial" w:eastAsia="Times New Roman" w:hAnsi="Arial" w:cs="Arial"/>
          <w:color w:val="000000"/>
          <w:sz w:val="19"/>
          <w:szCs w:val="19"/>
          <w:lang w:eastAsia="fr-FR"/>
        </w:rPr>
        <w:br/>
        <w:t>III. ― Le II entre en vigueur le 1er janvier 2015.</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72" w:name="JORFARTI000028773866"/>
      <w:bookmarkEnd w:id="72"/>
      <w:r w:rsidRPr="00874A27">
        <w:rPr>
          <w:rFonts w:ascii="Arial" w:eastAsia="Times New Roman" w:hAnsi="Arial" w:cs="Arial"/>
          <w:b/>
          <w:bCs/>
          <w:color w:val="000000"/>
          <w:sz w:val="23"/>
          <w:szCs w:val="23"/>
          <w:lang w:eastAsia="fr-FR"/>
        </w:rPr>
        <w:t>Article 73 </w:t>
      </w:r>
      <w:hyperlink r:id="rId312" w:tooltip="En savoir plus sur l'article 7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2374 du code civil est ainsi modifié :</w:t>
      </w:r>
      <w:r w:rsidRPr="00874A27">
        <w:rPr>
          <w:rFonts w:ascii="Arial" w:eastAsia="Times New Roman" w:hAnsi="Arial" w:cs="Arial"/>
          <w:color w:val="000000"/>
          <w:sz w:val="19"/>
          <w:szCs w:val="19"/>
          <w:lang w:eastAsia="fr-FR"/>
        </w:rPr>
        <w:br/>
        <w:t>1° Le premier alinéa du 1° bis est ainsi modifié :</w:t>
      </w:r>
      <w:r w:rsidRPr="00874A27">
        <w:rPr>
          <w:rFonts w:ascii="Arial" w:eastAsia="Times New Roman" w:hAnsi="Arial" w:cs="Arial"/>
          <w:color w:val="000000"/>
          <w:sz w:val="19"/>
          <w:szCs w:val="19"/>
          <w:lang w:eastAsia="fr-FR"/>
        </w:rPr>
        <w:br/>
        <w:t>a) Les références : « aux articles 10 et 30 » sont remplacées par les références : « à l'article 10, au c du II de l'article 24 et à l'article 30 » et, après le mot : « bâtis », sont insérés les mots : « et des cotisations au fonds de travaux mentionné à l'article 14-2 de la même loi » ;</w:t>
      </w:r>
      <w:r w:rsidRPr="00874A27">
        <w:rPr>
          <w:rFonts w:ascii="Arial" w:eastAsia="Times New Roman" w:hAnsi="Arial" w:cs="Arial"/>
          <w:color w:val="000000"/>
          <w:sz w:val="19"/>
          <w:szCs w:val="19"/>
          <w:lang w:eastAsia="fr-FR"/>
        </w:rPr>
        <w:br/>
        <w:t>b) Sont ajoutés les mots : « ainsi que des dommages et intérêts alloués par les juridictions et des dépens » ;</w:t>
      </w:r>
      <w:r w:rsidRPr="00874A27">
        <w:rPr>
          <w:rFonts w:ascii="Arial" w:eastAsia="Times New Roman" w:hAnsi="Arial" w:cs="Arial"/>
          <w:color w:val="000000"/>
          <w:sz w:val="19"/>
          <w:szCs w:val="19"/>
          <w:lang w:eastAsia="fr-FR"/>
        </w:rPr>
        <w:br/>
        <w:t>2° Après le 1° bis, il est inséré un 1° ter ainsi rédigé :</w:t>
      </w:r>
      <w:r w:rsidRPr="00874A27">
        <w:rPr>
          <w:rFonts w:ascii="Arial" w:eastAsia="Times New Roman" w:hAnsi="Arial" w:cs="Arial"/>
          <w:color w:val="000000"/>
          <w:sz w:val="19"/>
          <w:szCs w:val="19"/>
          <w:lang w:eastAsia="fr-FR"/>
        </w:rPr>
        <w:br/>
        <w:t>« 1° ter. Conjointement avec le vendeur et, le cas échéant, avec le prêteur de deniers mentionné au 2° du présent article, l'opérateur mentionné à l'article L. 615-10 du code de la construction et de l'habitation, si le bien vendu est assorti d'une servitude sur des biens d'intérêt collectif.</w:t>
      </w:r>
      <w:r w:rsidRPr="00874A27">
        <w:rPr>
          <w:rFonts w:ascii="Arial" w:eastAsia="Times New Roman" w:hAnsi="Arial" w:cs="Arial"/>
          <w:color w:val="000000"/>
          <w:sz w:val="19"/>
          <w:szCs w:val="19"/>
          <w:lang w:eastAsia="fr-FR"/>
        </w:rPr>
        <w:br/>
        <w:t>« Toutefois, l'opérateur est préféré au vendeur et au prêteur de deniers pour les redevances prévues au même article L. 615-10 de l'année courante et des deux dernières années échues ; ».</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5 : Mesures diverses</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73" w:name="JORFARTI000028773874"/>
      <w:bookmarkEnd w:id="73"/>
      <w:r w:rsidRPr="00874A27">
        <w:rPr>
          <w:rFonts w:ascii="Arial" w:eastAsia="Times New Roman" w:hAnsi="Arial" w:cs="Arial"/>
          <w:b/>
          <w:bCs/>
          <w:color w:val="000000"/>
          <w:sz w:val="23"/>
          <w:szCs w:val="23"/>
          <w:lang w:eastAsia="fr-FR"/>
        </w:rPr>
        <w:t>Article 74 </w:t>
      </w:r>
      <w:hyperlink r:id="rId313" w:tooltip="En savoir plus sur l'article 7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loi n° 65-557 du 10 juillet 1965 précitée est ainsi modifiée :</w:t>
      </w:r>
      <w:r w:rsidRPr="00874A27">
        <w:rPr>
          <w:rFonts w:ascii="Arial" w:eastAsia="Times New Roman" w:hAnsi="Arial" w:cs="Arial"/>
          <w:color w:val="000000"/>
          <w:sz w:val="19"/>
          <w:szCs w:val="19"/>
          <w:lang w:eastAsia="fr-FR"/>
        </w:rPr>
        <w:br/>
        <w:t>1° Les articles 45-1,46-1 et 49 sont abrogés ;</w:t>
      </w:r>
      <w:r w:rsidRPr="00874A27">
        <w:rPr>
          <w:rFonts w:ascii="Arial" w:eastAsia="Times New Roman" w:hAnsi="Arial" w:cs="Arial"/>
          <w:color w:val="000000"/>
          <w:sz w:val="19"/>
          <w:szCs w:val="19"/>
          <w:lang w:eastAsia="fr-FR"/>
        </w:rPr>
        <w:br/>
        <w:t>2° Le premier alinéa de l'article 47est ainsi rédigé :</w:t>
      </w:r>
      <w:r w:rsidRPr="00874A27">
        <w:rPr>
          <w:rFonts w:ascii="Arial" w:eastAsia="Times New Roman" w:hAnsi="Arial" w:cs="Arial"/>
          <w:color w:val="000000"/>
          <w:sz w:val="19"/>
          <w:szCs w:val="19"/>
          <w:lang w:eastAsia="fr-FR"/>
        </w:rPr>
        <w:br/>
        <w:t>« Un décret en Conseil d'Etat précise les conditions d'application de la présente loi. »</w:t>
      </w:r>
    </w:p>
    <w:p w:rsidR="00874A27" w:rsidRPr="00874A27" w:rsidRDefault="00874A27" w:rsidP="00874A27">
      <w:pPr>
        <w:numPr>
          <w:ilvl w:val="1"/>
          <w:numId w:val="2"/>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III : Renforcer les outils de la lutte contre l'habitat indigne</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lastRenderedPageBreak/>
        <w:t>Section 1 : Permettre l'unification des polices de l'habitat</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74" w:name="JORFARTI000028773880"/>
      <w:bookmarkEnd w:id="74"/>
      <w:r w:rsidRPr="00874A27">
        <w:rPr>
          <w:rFonts w:ascii="Arial" w:eastAsia="Times New Roman" w:hAnsi="Arial" w:cs="Arial"/>
          <w:b/>
          <w:bCs/>
          <w:color w:val="000000"/>
          <w:sz w:val="23"/>
          <w:szCs w:val="23"/>
          <w:lang w:eastAsia="fr-FR"/>
        </w:rPr>
        <w:t>Article 75 </w:t>
      </w:r>
      <w:hyperlink r:id="rId314" w:tooltip="En savoir plus sur l'article 7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5211-9-2 du code général des collectivités territoriales est ainsi modifié :</w:t>
      </w:r>
      <w:r w:rsidRPr="00874A27">
        <w:rPr>
          <w:rFonts w:ascii="Arial" w:eastAsia="Times New Roman" w:hAnsi="Arial" w:cs="Arial"/>
          <w:color w:val="000000"/>
          <w:sz w:val="19"/>
          <w:szCs w:val="19"/>
          <w:lang w:eastAsia="fr-FR"/>
        </w:rPr>
        <w:br/>
        <w:t>1° Le A du I est complété par un alinéa ainsi rédigé :</w:t>
      </w:r>
      <w:r w:rsidRPr="00874A27">
        <w:rPr>
          <w:rFonts w:ascii="Arial" w:eastAsia="Times New Roman" w:hAnsi="Arial" w:cs="Arial"/>
          <w:color w:val="000000"/>
          <w:sz w:val="19"/>
          <w:szCs w:val="19"/>
          <w:lang w:eastAsia="fr-FR"/>
        </w:rPr>
        <w:br/>
        <w:t>« Sans préjudice de l'article L. 2212-2 du présent code, les maires des communes membres d'un établissement public de coopération intercommunale à fiscalité propre compétent en matière d'habitat transfèrent au président de cet établissement les prérogatives qu'ils détiennent en application des articles </w:t>
      </w:r>
      <w:hyperlink r:id="rId315" w:history="1">
        <w:r w:rsidRPr="00874A27">
          <w:rPr>
            <w:rFonts w:ascii="Arial" w:eastAsia="Times New Roman" w:hAnsi="Arial" w:cs="Arial"/>
            <w:color w:val="336699"/>
            <w:sz w:val="19"/>
            <w:szCs w:val="19"/>
            <w:u w:val="single"/>
            <w:lang w:eastAsia="fr-FR"/>
          </w:rPr>
          <w:t>L. 123-3</w:t>
        </w:r>
      </w:hyperlink>
      <w:r w:rsidRPr="00874A27">
        <w:rPr>
          <w:rFonts w:ascii="Arial" w:eastAsia="Times New Roman" w:hAnsi="Arial" w:cs="Arial"/>
          <w:color w:val="000000"/>
          <w:sz w:val="19"/>
          <w:szCs w:val="19"/>
          <w:lang w:eastAsia="fr-FR"/>
        </w:rPr>
        <w:t>, </w:t>
      </w:r>
      <w:hyperlink r:id="rId316" w:history="1">
        <w:r w:rsidRPr="00874A27">
          <w:rPr>
            <w:rFonts w:ascii="Arial" w:eastAsia="Times New Roman" w:hAnsi="Arial" w:cs="Arial"/>
            <w:color w:val="336699"/>
            <w:sz w:val="19"/>
            <w:szCs w:val="19"/>
            <w:u w:val="single"/>
            <w:lang w:eastAsia="fr-FR"/>
          </w:rPr>
          <w:t>L. 129-1 à L. 129-6</w:t>
        </w:r>
      </w:hyperlink>
      <w:r w:rsidRPr="00874A27">
        <w:rPr>
          <w:rFonts w:ascii="Arial" w:eastAsia="Times New Roman" w:hAnsi="Arial" w:cs="Arial"/>
          <w:color w:val="000000"/>
          <w:sz w:val="19"/>
          <w:szCs w:val="19"/>
          <w:lang w:eastAsia="fr-FR"/>
        </w:rPr>
        <w:t>, </w:t>
      </w:r>
      <w:hyperlink r:id="rId317" w:history="1">
        <w:r w:rsidRPr="00874A27">
          <w:rPr>
            <w:rFonts w:ascii="Arial" w:eastAsia="Times New Roman" w:hAnsi="Arial" w:cs="Arial"/>
            <w:color w:val="336699"/>
            <w:sz w:val="19"/>
            <w:szCs w:val="19"/>
            <w:u w:val="single"/>
            <w:lang w:eastAsia="fr-FR"/>
          </w:rPr>
          <w:t>L. 511-1 à L. 511-4</w:t>
        </w:r>
      </w:hyperlink>
      <w:r w:rsidRPr="00874A27">
        <w:rPr>
          <w:rFonts w:ascii="Arial" w:eastAsia="Times New Roman" w:hAnsi="Arial" w:cs="Arial"/>
          <w:color w:val="000000"/>
          <w:sz w:val="19"/>
          <w:szCs w:val="19"/>
          <w:lang w:eastAsia="fr-FR"/>
        </w:rPr>
        <w:t>, </w:t>
      </w:r>
      <w:hyperlink r:id="rId318" w:history="1">
        <w:r w:rsidRPr="00874A27">
          <w:rPr>
            <w:rFonts w:ascii="Arial" w:eastAsia="Times New Roman" w:hAnsi="Arial" w:cs="Arial"/>
            <w:color w:val="336699"/>
            <w:sz w:val="19"/>
            <w:szCs w:val="19"/>
            <w:u w:val="single"/>
            <w:lang w:eastAsia="fr-FR"/>
          </w:rPr>
          <w:t>L. 511-5</w:t>
        </w:r>
      </w:hyperlink>
      <w:r w:rsidRPr="00874A27">
        <w:rPr>
          <w:rFonts w:ascii="Arial" w:eastAsia="Times New Roman" w:hAnsi="Arial" w:cs="Arial"/>
          <w:color w:val="000000"/>
          <w:sz w:val="19"/>
          <w:szCs w:val="19"/>
          <w:lang w:eastAsia="fr-FR"/>
        </w:rPr>
        <w:t> et </w:t>
      </w:r>
      <w:hyperlink r:id="rId319" w:history="1">
        <w:r w:rsidRPr="00874A27">
          <w:rPr>
            <w:rFonts w:ascii="Arial" w:eastAsia="Times New Roman" w:hAnsi="Arial" w:cs="Arial"/>
            <w:color w:val="336699"/>
            <w:sz w:val="19"/>
            <w:szCs w:val="19"/>
            <w:u w:val="single"/>
            <w:lang w:eastAsia="fr-FR"/>
          </w:rPr>
          <w:t>L. 511-6</w:t>
        </w:r>
      </w:hyperlink>
      <w:r w:rsidRPr="00874A27">
        <w:rPr>
          <w:rFonts w:ascii="Arial" w:eastAsia="Times New Roman" w:hAnsi="Arial" w:cs="Arial"/>
          <w:color w:val="000000"/>
          <w:sz w:val="19"/>
          <w:szCs w:val="19"/>
          <w:lang w:eastAsia="fr-FR"/>
        </w:rPr>
        <w:t> du code de la construction et de l'habitation. Lorsqu'une métropole délègue tout ou partie de ses compétences en matière d'habitat à un conseil de territoire, le président du conseil de la métropole délègue les prérogatives précitées correspondantes au président du conseil de territoire, qui lui est substitué pour l'application des II, V, trois derniers alinéas du VI et VII du présent article dans le périmètre du territoire. » ;</w:t>
      </w:r>
      <w:r w:rsidRPr="00874A27">
        <w:rPr>
          <w:rFonts w:ascii="Arial" w:eastAsia="Times New Roman" w:hAnsi="Arial" w:cs="Arial"/>
          <w:color w:val="000000"/>
          <w:sz w:val="19"/>
          <w:szCs w:val="19"/>
          <w:lang w:eastAsia="fr-FR"/>
        </w:rPr>
        <w:br/>
        <w:t>2° Le VI est complété par trois alinéas ainsi rédigés :</w:t>
      </w:r>
      <w:r w:rsidRPr="00874A27">
        <w:rPr>
          <w:rFonts w:ascii="Arial" w:eastAsia="Times New Roman" w:hAnsi="Arial" w:cs="Arial"/>
          <w:color w:val="000000"/>
          <w:sz w:val="19"/>
          <w:szCs w:val="19"/>
          <w:lang w:eastAsia="fr-FR"/>
        </w:rPr>
        <w:br/>
        <w:t>« En cas de carence du président de l'établissement public de coopération intercommunale à fiscalité propre pour l'exercice des attributions définies à l'article L. 123-3 et aux articles L. 511-1 à L. 511-4, L. 511-5 et L. 511-6 du code de la construction et de l'habitation, le représentant de l'Etat dans le département peut se substituer à celui-ci.</w:t>
      </w:r>
      <w:r w:rsidRPr="00874A27">
        <w:rPr>
          <w:rFonts w:ascii="Arial" w:eastAsia="Times New Roman" w:hAnsi="Arial" w:cs="Arial"/>
          <w:color w:val="000000"/>
          <w:sz w:val="19"/>
          <w:szCs w:val="19"/>
          <w:lang w:eastAsia="fr-FR"/>
        </w:rPr>
        <w:br/>
        <w:t>« Dans les cas mentionnés aux deux premiers alinéas du présent VI, le représentant de l'Etat dans le département se substitue au président de l'établissement public de coopération intercommunale dans les conditions prévues à l'article L. 2215-1 du présent code. Les frais afférents aux mesures prises par le représentant de l'Etat dans le département sont à la charge de l'établissement public de coopération intercommunale concerné.</w:t>
      </w:r>
      <w:r w:rsidRPr="00874A27">
        <w:rPr>
          <w:rFonts w:ascii="Arial" w:eastAsia="Times New Roman" w:hAnsi="Arial" w:cs="Arial"/>
          <w:color w:val="000000"/>
          <w:sz w:val="19"/>
          <w:szCs w:val="19"/>
          <w:lang w:eastAsia="fr-FR"/>
        </w:rPr>
        <w:br/>
        <w:t>« En cas de carence du président de l'établissement public de coopération intercommunale à fiscalité propre pour l'exercice des attributions définies aux articles L. 129-1 à L. 129-6 du code de la construction et de l'habitation, le représentant de l'Etat dans le département peut se substituer à celui-ci dans les conditions prévues à l'article L. 2122-34 du présent code. » ;</w:t>
      </w:r>
      <w:r w:rsidRPr="00874A27">
        <w:rPr>
          <w:rFonts w:ascii="Arial" w:eastAsia="Times New Roman" w:hAnsi="Arial" w:cs="Arial"/>
          <w:color w:val="000000"/>
          <w:sz w:val="19"/>
          <w:szCs w:val="19"/>
          <w:lang w:eastAsia="fr-FR"/>
        </w:rPr>
        <w:br/>
        <w:t>3° Il est ajouté un VII ainsi rédigé :</w:t>
      </w:r>
      <w:r w:rsidRPr="00874A27">
        <w:rPr>
          <w:rFonts w:ascii="Arial" w:eastAsia="Times New Roman" w:hAnsi="Arial" w:cs="Arial"/>
          <w:color w:val="000000"/>
          <w:sz w:val="19"/>
          <w:szCs w:val="19"/>
          <w:lang w:eastAsia="fr-FR"/>
        </w:rPr>
        <w:br/>
        <w:t>« VII. ― Les services ou parties de services des communes qui participent à l'exercice des attributions mentionnées au dernier alinéa du A du I sont mis à disposition du président de l'établissement public de coopération intercommunale par les maires des communes membres pour l'exercice des polices transférées.</w:t>
      </w:r>
      <w:r w:rsidRPr="00874A27">
        <w:rPr>
          <w:rFonts w:ascii="Arial" w:eastAsia="Times New Roman" w:hAnsi="Arial" w:cs="Arial"/>
          <w:color w:val="000000"/>
          <w:sz w:val="19"/>
          <w:szCs w:val="19"/>
          <w:lang w:eastAsia="fr-FR"/>
        </w:rPr>
        <w:br/>
        <w:t>« Une convention entre les maires ayant transféré leurs attributions et le président de l'établissement public de coopération intercommunale fixe les conditions dans lesquelles ces services sont mis à disposition du président de cet établissement. »</w:t>
      </w:r>
      <w:r w:rsidRPr="00874A27">
        <w:rPr>
          <w:rFonts w:ascii="Arial" w:eastAsia="Times New Roman" w:hAnsi="Arial" w:cs="Arial"/>
          <w:color w:val="000000"/>
          <w:sz w:val="19"/>
          <w:szCs w:val="19"/>
          <w:lang w:eastAsia="fr-FR"/>
        </w:rPr>
        <w:br/>
        <w:t>II. ― L'article L. 3642-2 du même code est ainsi modifié :</w:t>
      </w:r>
      <w:r w:rsidRPr="00874A27">
        <w:rPr>
          <w:rFonts w:ascii="Arial" w:eastAsia="Times New Roman" w:hAnsi="Arial" w:cs="Arial"/>
          <w:color w:val="000000"/>
          <w:sz w:val="19"/>
          <w:szCs w:val="19"/>
          <w:lang w:eastAsia="fr-FR"/>
        </w:rPr>
        <w:br/>
        <w:t>1° Le I est complété par un 9 ainsi rédigé :</w:t>
      </w:r>
      <w:r w:rsidRPr="00874A27">
        <w:rPr>
          <w:rFonts w:ascii="Arial" w:eastAsia="Times New Roman" w:hAnsi="Arial" w:cs="Arial"/>
          <w:color w:val="000000"/>
          <w:sz w:val="19"/>
          <w:szCs w:val="19"/>
          <w:lang w:eastAsia="fr-FR"/>
        </w:rPr>
        <w:br/>
        <w:t>« 9. Sans préjudice de l'article L. 2212-2, le président du conseil de la métropole exerce les attributions mentionnées aux articles </w:t>
      </w:r>
      <w:hyperlink r:id="rId320" w:history="1">
        <w:r w:rsidRPr="00874A27">
          <w:rPr>
            <w:rFonts w:ascii="Arial" w:eastAsia="Times New Roman" w:hAnsi="Arial" w:cs="Arial"/>
            <w:color w:val="336699"/>
            <w:sz w:val="19"/>
            <w:szCs w:val="19"/>
            <w:u w:val="single"/>
            <w:lang w:eastAsia="fr-FR"/>
          </w:rPr>
          <w:t>L. 123-3</w:t>
        </w:r>
      </w:hyperlink>
      <w:r w:rsidRPr="00874A27">
        <w:rPr>
          <w:rFonts w:ascii="Arial" w:eastAsia="Times New Roman" w:hAnsi="Arial" w:cs="Arial"/>
          <w:color w:val="000000"/>
          <w:sz w:val="19"/>
          <w:szCs w:val="19"/>
          <w:lang w:eastAsia="fr-FR"/>
        </w:rPr>
        <w:t>, </w:t>
      </w:r>
      <w:hyperlink r:id="rId321" w:history="1">
        <w:r w:rsidRPr="00874A27">
          <w:rPr>
            <w:rFonts w:ascii="Arial" w:eastAsia="Times New Roman" w:hAnsi="Arial" w:cs="Arial"/>
            <w:color w:val="336699"/>
            <w:sz w:val="19"/>
            <w:szCs w:val="19"/>
            <w:u w:val="single"/>
            <w:lang w:eastAsia="fr-FR"/>
          </w:rPr>
          <w:t>L. 129-1 à L. 129-6</w:t>
        </w:r>
      </w:hyperlink>
      <w:r w:rsidRPr="00874A27">
        <w:rPr>
          <w:rFonts w:ascii="Arial" w:eastAsia="Times New Roman" w:hAnsi="Arial" w:cs="Arial"/>
          <w:color w:val="000000"/>
          <w:sz w:val="19"/>
          <w:szCs w:val="19"/>
          <w:lang w:eastAsia="fr-FR"/>
        </w:rPr>
        <w:t>, </w:t>
      </w:r>
      <w:hyperlink r:id="rId322" w:history="1">
        <w:r w:rsidRPr="00874A27">
          <w:rPr>
            <w:rFonts w:ascii="Arial" w:eastAsia="Times New Roman" w:hAnsi="Arial" w:cs="Arial"/>
            <w:color w:val="336699"/>
            <w:sz w:val="19"/>
            <w:szCs w:val="19"/>
            <w:u w:val="single"/>
            <w:lang w:eastAsia="fr-FR"/>
          </w:rPr>
          <w:t>L. 511-1 à L. 511-4</w:t>
        </w:r>
      </w:hyperlink>
      <w:r w:rsidRPr="00874A27">
        <w:rPr>
          <w:rFonts w:ascii="Arial" w:eastAsia="Times New Roman" w:hAnsi="Arial" w:cs="Arial"/>
          <w:color w:val="000000"/>
          <w:sz w:val="19"/>
          <w:szCs w:val="19"/>
          <w:lang w:eastAsia="fr-FR"/>
        </w:rPr>
        <w:t>, </w:t>
      </w:r>
      <w:hyperlink r:id="rId323" w:history="1">
        <w:r w:rsidRPr="00874A27">
          <w:rPr>
            <w:rFonts w:ascii="Arial" w:eastAsia="Times New Roman" w:hAnsi="Arial" w:cs="Arial"/>
            <w:color w:val="336699"/>
            <w:sz w:val="19"/>
            <w:szCs w:val="19"/>
            <w:u w:val="single"/>
            <w:lang w:eastAsia="fr-FR"/>
          </w:rPr>
          <w:t>L. 511-5</w:t>
        </w:r>
      </w:hyperlink>
      <w:r w:rsidRPr="00874A27">
        <w:rPr>
          <w:rFonts w:ascii="Arial" w:eastAsia="Times New Roman" w:hAnsi="Arial" w:cs="Arial"/>
          <w:color w:val="000000"/>
          <w:sz w:val="19"/>
          <w:szCs w:val="19"/>
          <w:lang w:eastAsia="fr-FR"/>
        </w:rPr>
        <w:t> et </w:t>
      </w:r>
      <w:hyperlink r:id="rId324" w:history="1">
        <w:r w:rsidRPr="00874A27">
          <w:rPr>
            <w:rFonts w:ascii="Arial" w:eastAsia="Times New Roman" w:hAnsi="Arial" w:cs="Arial"/>
            <w:color w:val="336699"/>
            <w:sz w:val="19"/>
            <w:szCs w:val="19"/>
            <w:u w:val="single"/>
            <w:lang w:eastAsia="fr-FR"/>
          </w:rPr>
          <w:t>L. 511-6</w:t>
        </w:r>
      </w:hyperlink>
      <w:r w:rsidRPr="00874A27">
        <w:rPr>
          <w:rFonts w:ascii="Arial" w:eastAsia="Times New Roman" w:hAnsi="Arial" w:cs="Arial"/>
          <w:color w:val="000000"/>
          <w:sz w:val="19"/>
          <w:szCs w:val="19"/>
          <w:lang w:eastAsia="fr-FR"/>
        </w:rPr>
        <w:t> du code de la construction et de l'habitation. » ;</w:t>
      </w:r>
      <w:r w:rsidRPr="00874A27">
        <w:rPr>
          <w:rFonts w:ascii="Arial" w:eastAsia="Times New Roman" w:hAnsi="Arial" w:cs="Arial"/>
          <w:color w:val="000000"/>
          <w:sz w:val="19"/>
          <w:szCs w:val="19"/>
          <w:lang w:eastAsia="fr-FR"/>
        </w:rPr>
        <w:br/>
        <w:t>2° Au IV, après la référence : « au 5 », est insérée la référence : « et au 9 ».</w:t>
      </w:r>
      <w:r w:rsidRPr="00874A27">
        <w:rPr>
          <w:rFonts w:ascii="Arial" w:eastAsia="Times New Roman" w:hAnsi="Arial" w:cs="Arial"/>
          <w:color w:val="000000"/>
          <w:sz w:val="19"/>
          <w:szCs w:val="19"/>
          <w:lang w:eastAsia="fr-FR"/>
        </w:rPr>
        <w:br/>
        <w:t>III. ― Après l'</w:t>
      </w:r>
      <w:hyperlink r:id="rId325" w:history="1">
        <w:r w:rsidRPr="00874A27">
          <w:rPr>
            <w:rFonts w:ascii="Arial" w:eastAsia="Times New Roman" w:hAnsi="Arial" w:cs="Arial"/>
            <w:color w:val="336699"/>
            <w:sz w:val="19"/>
            <w:szCs w:val="19"/>
            <w:u w:val="single"/>
            <w:lang w:eastAsia="fr-FR"/>
          </w:rPr>
          <w:t>article L. 301-5-1 du code de la construction et de l'habitation</w:t>
        </w:r>
      </w:hyperlink>
      <w:r w:rsidRPr="00874A27">
        <w:rPr>
          <w:rFonts w:ascii="Arial" w:eastAsia="Times New Roman" w:hAnsi="Arial" w:cs="Arial"/>
          <w:color w:val="000000"/>
          <w:sz w:val="19"/>
          <w:szCs w:val="19"/>
          <w:lang w:eastAsia="fr-FR"/>
        </w:rPr>
        <w:t>, sont insérés des articles L. 301-5-1-1 et L. 301-5-1-2 ainsi rédigés :</w:t>
      </w:r>
      <w:r w:rsidRPr="00874A27">
        <w:rPr>
          <w:rFonts w:ascii="Arial" w:eastAsia="Times New Roman" w:hAnsi="Arial" w:cs="Arial"/>
          <w:color w:val="000000"/>
          <w:sz w:val="19"/>
          <w:szCs w:val="19"/>
          <w:lang w:eastAsia="fr-FR"/>
        </w:rPr>
        <w:br/>
        <w:t>« Art. L. 301-5-1-1. - Lorsqu'un établissement public de coopération intercommunale à fiscalité propre a signé avec l'Etat la convention mentionnée à l'article L. 301-5-1 et lorsque les maires des communes membres de l'établissement ont transféré leurs prérogatives en matière de polices spéciales dans les conditions définies au </w:t>
      </w:r>
      <w:hyperlink r:id="rId326" w:history="1">
        <w:r w:rsidRPr="00874A27">
          <w:rPr>
            <w:rFonts w:ascii="Arial" w:eastAsia="Times New Roman" w:hAnsi="Arial" w:cs="Arial"/>
            <w:color w:val="336699"/>
            <w:sz w:val="19"/>
            <w:szCs w:val="19"/>
            <w:u w:val="single"/>
            <w:lang w:eastAsia="fr-FR"/>
          </w:rPr>
          <w:t>dernier alinéa du A du I de l'article L. 5211-9-2 du code général des collectivités territoriales</w:t>
        </w:r>
      </w:hyperlink>
      <w:r w:rsidRPr="00874A27">
        <w:rPr>
          <w:rFonts w:ascii="Arial" w:eastAsia="Times New Roman" w:hAnsi="Arial" w:cs="Arial"/>
          <w:color w:val="000000"/>
          <w:sz w:val="19"/>
          <w:szCs w:val="19"/>
          <w:lang w:eastAsia="fr-FR"/>
        </w:rPr>
        <w:t>, le représentant de l'Etat dans le département peut, sur le territoire de ces communes, après avis du directeur général de l'agence régionale de santé, déléguer au président de l'établissement public de coopération intercommunale ses prérogatives en matière de police de santé publique définies aux </w:t>
      </w:r>
      <w:hyperlink r:id="rId327" w:history="1">
        <w:r w:rsidRPr="00874A27">
          <w:rPr>
            <w:rFonts w:ascii="Arial" w:eastAsia="Times New Roman" w:hAnsi="Arial" w:cs="Arial"/>
            <w:color w:val="336699"/>
            <w:sz w:val="19"/>
            <w:szCs w:val="19"/>
            <w:u w:val="single"/>
            <w:lang w:eastAsia="fr-FR"/>
          </w:rPr>
          <w:t>articles L. 1331-22 à L. 1331-30 du code de la santé publique</w:t>
        </w:r>
      </w:hyperlink>
      <w:r w:rsidRPr="00874A27">
        <w:rPr>
          <w:rFonts w:ascii="Arial" w:eastAsia="Times New Roman" w:hAnsi="Arial" w:cs="Arial"/>
          <w:color w:val="000000"/>
          <w:sz w:val="19"/>
          <w:szCs w:val="19"/>
          <w:lang w:eastAsia="fr-FR"/>
        </w:rPr>
        <w:t>. Dans le cas d'une métropole, ces prérogatives peuvent être subdéléguées par le président de la métropole au président du conseil de territoire dès lors que celui bénéficie de la délégation mentionnée au </w:t>
      </w:r>
      <w:hyperlink r:id="rId328" w:history="1">
        <w:r w:rsidRPr="00874A27">
          <w:rPr>
            <w:rFonts w:ascii="Arial" w:eastAsia="Times New Roman" w:hAnsi="Arial" w:cs="Arial"/>
            <w:color w:val="336699"/>
            <w:sz w:val="19"/>
            <w:szCs w:val="19"/>
            <w:u w:val="single"/>
            <w:lang w:eastAsia="fr-FR"/>
          </w:rPr>
          <w:t>dernier alinéa du A du I de l'article L. 5211-9-2 du code général des collectivités territoriales</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xml:space="preserve">« Les conditions dans lesquelles le président de l'établissement public de coopération intercommunale exerce les prérogatives qui lui ont été transférées et déléguées font l'objet d'une convention signée, d'une part, avec les maires des communes membres de l'établissement public de coopération intercommunale et, d'autre part, avec le représentant de l'Etat dans le département et le </w:t>
      </w:r>
      <w:r w:rsidRPr="00874A27">
        <w:rPr>
          <w:rFonts w:ascii="Arial" w:eastAsia="Times New Roman" w:hAnsi="Arial" w:cs="Arial"/>
          <w:color w:val="000000"/>
          <w:sz w:val="19"/>
          <w:szCs w:val="19"/>
          <w:lang w:eastAsia="fr-FR"/>
        </w:rPr>
        <w:lastRenderedPageBreak/>
        <w:t>directeur général de l'agence régionale de santé. Cette convention, qui tient compte du programme local de l'habitat, du projet régional de santé et des contrats locaux de santé, précise notamment :</w:t>
      </w:r>
      <w:r w:rsidRPr="00874A27">
        <w:rPr>
          <w:rFonts w:ascii="Arial" w:eastAsia="Times New Roman" w:hAnsi="Arial" w:cs="Arial"/>
          <w:color w:val="000000"/>
          <w:sz w:val="19"/>
          <w:szCs w:val="19"/>
          <w:lang w:eastAsia="fr-FR"/>
        </w:rPr>
        <w:br/>
        <w:t>« 1° Les objectifs prioritaires de lutte contre l'habitat indigne dans le périmètre de l'établissement public ;</w:t>
      </w:r>
      <w:r w:rsidRPr="00874A27">
        <w:rPr>
          <w:rFonts w:ascii="Arial" w:eastAsia="Times New Roman" w:hAnsi="Arial" w:cs="Arial"/>
          <w:color w:val="000000"/>
          <w:sz w:val="19"/>
          <w:szCs w:val="19"/>
          <w:lang w:eastAsia="fr-FR"/>
        </w:rPr>
        <w:br/>
        <w:t>« 2° Les moyens humains et financiers prévisionnels affectés à cette mission, ainsi que la coordination des services locaux concernés ;</w:t>
      </w:r>
      <w:r w:rsidRPr="00874A27">
        <w:rPr>
          <w:rFonts w:ascii="Arial" w:eastAsia="Times New Roman" w:hAnsi="Arial" w:cs="Arial"/>
          <w:color w:val="000000"/>
          <w:sz w:val="19"/>
          <w:szCs w:val="19"/>
          <w:lang w:eastAsia="fr-FR"/>
        </w:rPr>
        <w:br/>
        <w:t>« 3° Les conditions dans lesquelles le président de l'établissement public de coopération intercommunale peut recourir aux services de l'Etat ou de ses établissements publics ;</w:t>
      </w:r>
      <w:r w:rsidRPr="00874A27">
        <w:rPr>
          <w:rFonts w:ascii="Arial" w:eastAsia="Times New Roman" w:hAnsi="Arial" w:cs="Arial"/>
          <w:color w:val="000000"/>
          <w:sz w:val="19"/>
          <w:szCs w:val="19"/>
          <w:lang w:eastAsia="fr-FR"/>
        </w:rPr>
        <w:br/>
        <w:t>« 4° Les conditions de mise en place de dispositifs d'observation de l'habitat indigne, des situations de péril ou d'exposition au risque d'incendie ;</w:t>
      </w:r>
      <w:r w:rsidRPr="00874A27">
        <w:rPr>
          <w:rFonts w:ascii="Arial" w:eastAsia="Times New Roman" w:hAnsi="Arial" w:cs="Arial"/>
          <w:color w:val="000000"/>
          <w:sz w:val="19"/>
          <w:szCs w:val="19"/>
          <w:lang w:eastAsia="fr-FR"/>
        </w:rPr>
        <w:br/>
        <w:t>« 5° Les conditions de son évaluation et les conditions dans lesquelles il est rendu compte annuellement de son exécution.</w:t>
      </w:r>
      <w:r w:rsidRPr="00874A27">
        <w:rPr>
          <w:rFonts w:ascii="Arial" w:eastAsia="Times New Roman" w:hAnsi="Arial" w:cs="Arial"/>
          <w:color w:val="000000"/>
          <w:sz w:val="19"/>
          <w:szCs w:val="19"/>
          <w:lang w:eastAsia="fr-FR"/>
        </w:rPr>
        <w:br/>
        <w:t>« Les arrêtés et mesures pris en application des mêmes articles L. 1331-22 à L. 1331-30 le sont dans le respect des procédures afférentes précisées aux mêmes articles.</w:t>
      </w:r>
      <w:r w:rsidRPr="00874A27">
        <w:rPr>
          <w:rFonts w:ascii="Arial" w:eastAsia="Times New Roman" w:hAnsi="Arial" w:cs="Arial"/>
          <w:color w:val="000000"/>
          <w:sz w:val="19"/>
          <w:szCs w:val="19"/>
          <w:lang w:eastAsia="fr-FR"/>
        </w:rPr>
        <w:br/>
        <w:t>« Ces arrêtés et mesures sont notifiés au représentant de l'Etat dans le département ainsi qu'au directeur général de l'agence régionale de santé ou à son délégué.</w:t>
      </w:r>
      <w:r w:rsidRPr="00874A27">
        <w:rPr>
          <w:rFonts w:ascii="Arial" w:eastAsia="Times New Roman" w:hAnsi="Arial" w:cs="Arial"/>
          <w:color w:val="000000"/>
          <w:sz w:val="19"/>
          <w:szCs w:val="19"/>
          <w:lang w:eastAsia="fr-FR"/>
        </w:rPr>
        <w:br/>
        <w:t>« En cas de carence du président de l'établissement public de coopération intercommunale dans l'exercice des compétences déléguées, le représentant de l'Etat dans le département se substitue à lui dans les conditions prévues à l'</w:t>
      </w:r>
      <w:hyperlink r:id="rId329" w:history="1">
        <w:r w:rsidRPr="00874A27">
          <w:rPr>
            <w:rFonts w:ascii="Arial" w:eastAsia="Times New Roman" w:hAnsi="Arial" w:cs="Arial"/>
            <w:color w:val="336699"/>
            <w:sz w:val="19"/>
            <w:szCs w:val="19"/>
            <w:u w:val="single"/>
            <w:lang w:eastAsia="fr-FR"/>
          </w:rPr>
          <w:t>article L. 2122-34 du code général des collectivités territoriales</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Dans les cas mentionnés au présent article, le président de l'établissement public de coopération intercommunale, en cas de défaillance du propriétaire, procède à l'exécution d'office des mesures et travaux prescrits par l'arrêté et assure l'hébergement temporaire ou le relogement des occupants dans les cas et conditions précisés aux articles L. 521-1 et suivants du présent code.</w:t>
      </w:r>
      <w:r w:rsidRPr="00874A27">
        <w:rPr>
          <w:rFonts w:ascii="Arial" w:eastAsia="Times New Roman" w:hAnsi="Arial" w:cs="Arial"/>
          <w:color w:val="000000"/>
          <w:sz w:val="19"/>
          <w:szCs w:val="19"/>
          <w:lang w:eastAsia="fr-FR"/>
        </w:rPr>
        <w:br/>
        <w:t>« Pour assurer l'hébergement temporaire ou le relogement des occupants, le président de l'établissement public de coopération intercommunale dispose des prérogatives précisées au troisième alinéa de l'article L. 521-3-3.</w:t>
      </w:r>
      <w:r w:rsidRPr="00874A27">
        <w:rPr>
          <w:rFonts w:ascii="Arial" w:eastAsia="Times New Roman" w:hAnsi="Arial" w:cs="Arial"/>
          <w:color w:val="000000"/>
          <w:sz w:val="19"/>
          <w:szCs w:val="19"/>
          <w:lang w:eastAsia="fr-FR"/>
        </w:rPr>
        <w:br/>
        <w:t>« Les créances relatives aux travaux d'office, à l'hébergement ou au relogement des occupants sont recouvrées par l'établissement public de coopération intercommunale comme en matière de contributions directes et sont garanties par les dispositions prévues au </w:t>
      </w:r>
      <w:hyperlink r:id="rId330" w:history="1">
        <w:r w:rsidRPr="00874A27">
          <w:rPr>
            <w:rFonts w:ascii="Arial" w:eastAsia="Times New Roman" w:hAnsi="Arial" w:cs="Arial"/>
            <w:color w:val="336699"/>
            <w:sz w:val="19"/>
            <w:szCs w:val="19"/>
            <w:u w:val="single"/>
            <w:lang w:eastAsia="fr-FR"/>
          </w:rPr>
          <w:t>8° de l'article 2374 du code civil</w:t>
        </w:r>
      </w:hyperlink>
      <w:r w:rsidRPr="00874A27">
        <w:rPr>
          <w:rFonts w:ascii="Arial" w:eastAsia="Times New Roman" w:hAnsi="Arial" w:cs="Arial"/>
          <w:color w:val="000000"/>
          <w:sz w:val="19"/>
          <w:szCs w:val="19"/>
          <w:lang w:eastAsia="fr-FR"/>
        </w:rPr>
        <w:t> et aux articles L. 541-1 et suivants du présent code.</w:t>
      </w:r>
      <w:r w:rsidRPr="00874A27">
        <w:rPr>
          <w:rFonts w:ascii="Arial" w:eastAsia="Times New Roman" w:hAnsi="Arial" w:cs="Arial"/>
          <w:color w:val="000000"/>
          <w:sz w:val="19"/>
          <w:szCs w:val="19"/>
          <w:lang w:eastAsia="fr-FR"/>
        </w:rPr>
        <w:br/>
        <w:t>« Le président de l'établissement public de coopération intercommunale auquel le représentant de l'Etat dans le département a délégué ses prérogatives en matière de polices spéciales exerce celles-ci dans le cadre d'un service intercommunal d'hygiène et de santé dédié à la lutte contre l'habitat indigne et les bâtiments dangereux mentionnés à l'article L. 511-1 du présent code.</w:t>
      </w:r>
      <w:r w:rsidRPr="00874A27">
        <w:rPr>
          <w:rFonts w:ascii="Arial" w:eastAsia="Times New Roman" w:hAnsi="Arial" w:cs="Arial"/>
          <w:color w:val="000000"/>
          <w:sz w:val="19"/>
          <w:szCs w:val="19"/>
          <w:lang w:eastAsia="fr-FR"/>
        </w:rPr>
        <w:br/>
        <w:t>« Sans préjudice des attributions du directeur général de l'agence régionale de santé ou des directeurs des services communaux d'hygiène et de santé situés dans le périmètre de l'établissement public de coopération intercommunale bénéficiaire de la délégation mentionné au présent article, le responsable du service intercommunal d'hygiène et de santé dédié à la lutte contre l'habitat indigne et les bâtiments dangereux mentionné à l'alinéa précédent est compétent pour établir le rapport motivé prévu à l'</w:t>
      </w:r>
      <w:hyperlink r:id="rId331" w:history="1">
        <w:r w:rsidRPr="00874A27">
          <w:rPr>
            <w:rFonts w:ascii="Arial" w:eastAsia="Times New Roman" w:hAnsi="Arial" w:cs="Arial"/>
            <w:color w:val="336699"/>
            <w:sz w:val="19"/>
            <w:szCs w:val="19"/>
            <w:u w:val="single"/>
            <w:lang w:eastAsia="fr-FR"/>
          </w:rPr>
          <w:t>article L. 1331-26 du code de la santé publique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Pour l'application du présent article, les conventions de délégation de compétence en matière d'habitat, conclues par les métropoles sur le fondement du II ou du </w:t>
      </w:r>
      <w:hyperlink r:id="rId332" w:history="1">
        <w:r w:rsidRPr="00874A27">
          <w:rPr>
            <w:rFonts w:ascii="Arial" w:eastAsia="Times New Roman" w:hAnsi="Arial" w:cs="Arial"/>
            <w:color w:val="336699"/>
            <w:sz w:val="19"/>
            <w:szCs w:val="19"/>
            <w:u w:val="single"/>
            <w:lang w:eastAsia="fr-FR"/>
          </w:rPr>
          <w:t>III de l'article L. 5217-2 ou du VI de l'article L. 5219-1 du code général des collectivités territoriales</w:t>
        </w:r>
      </w:hyperlink>
      <w:r w:rsidRPr="00874A27">
        <w:rPr>
          <w:rFonts w:ascii="Arial" w:eastAsia="Times New Roman" w:hAnsi="Arial" w:cs="Arial"/>
          <w:color w:val="000000"/>
          <w:sz w:val="19"/>
          <w:szCs w:val="19"/>
          <w:lang w:eastAsia="fr-FR"/>
        </w:rPr>
        <w:t>, tiennent lieu de convention mentionnée à l'article L. 301-5-1 du présent code.</w:t>
      </w:r>
      <w:r w:rsidRPr="00874A27">
        <w:rPr>
          <w:rFonts w:ascii="Arial" w:eastAsia="Times New Roman" w:hAnsi="Arial" w:cs="Arial"/>
          <w:color w:val="000000"/>
          <w:sz w:val="19"/>
          <w:szCs w:val="19"/>
          <w:lang w:eastAsia="fr-FR"/>
        </w:rPr>
        <w:br/>
        <w:t>« Le présent article est applicable à la métropole de Lyon mentionnée au livre VI de la troisième partie du code général des collectivités territoriales lorsqu'elle a conclu avec l'Etat une convention de délégation de compétence en matière d'habitat sur le fondement de l'article L. 3641-5 du même code.</w:t>
      </w:r>
      <w:r w:rsidRPr="00874A27">
        <w:rPr>
          <w:rFonts w:ascii="Arial" w:eastAsia="Times New Roman" w:hAnsi="Arial" w:cs="Arial"/>
          <w:color w:val="000000"/>
          <w:sz w:val="19"/>
          <w:szCs w:val="19"/>
          <w:lang w:eastAsia="fr-FR"/>
        </w:rPr>
        <w:br/>
        <w:t>« Art. L. 301-5-1-2. - Sous réserve de l'</w:t>
      </w:r>
      <w:hyperlink r:id="rId333" w:history="1">
        <w:r w:rsidRPr="00874A27">
          <w:rPr>
            <w:rFonts w:ascii="Arial" w:eastAsia="Times New Roman" w:hAnsi="Arial" w:cs="Arial"/>
            <w:color w:val="336699"/>
            <w:sz w:val="19"/>
            <w:szCs w:val="19"/>
            <w:u w:val="single"/>
            <w:lang w:eastAsia="fr-FR"/>
          </w:rPr>
          <w:t>article L. 5211-9-2 du code général des collectivités territoriales</w:t>
        </w:r>
      </w:hyperlink>
      <w:r w:rsidRPr="00874A27">
        <w:rPr>
          <w:rFonts w:ascii="Arial" w:eastAsia="Times New Roman" w:hAnsi="Arial" w:cs="Arial"/>
          <w:color w:val="000000"/>
          <w:sz w:val="19"/>
          <w:szCs w:val="19"/>
          <w:lang w:eastAsia="fr-FR"/>
        </w:rPr>
        <w:t>, le représentant de l'Etat dans le département peut, après avis du directeur général de l'agence régionale de santé, déléguer aux maires des communes membres d'un établissement public de coopération intercommunale et disposant d'un service communal d'hygiène et de santé mentionné au </w:t>
      </w:r>
      <w:hyperlink r:id="rId334" w:history="1">
        <w:r w:rsidRPr="00874A27">
          <w:rPr>
            <w:rFonts w:ascii="Arial" w:eastAsia="Times New Roman" w:hAnsi="Arial" w:cs="Arial"/>
            <w:color w:val="336699"/>
            <w:sz w:val="19"/>
            <w:szCs w:val="19"/>
            <w:u w:val="single"/>
            <w:lang w:eastAsia="fr-FR"/>
          </w:rPr>
          <w:t>dernier alinéa de l'article L. 1422-1 du code de la santé publique</w:t>
        </w:r>
      </w:hyperlink>
      <w:r w:rsidRPr="00874A27">
        <w:rPr>
          <w:rFonts w:ascii="Arial" w:eastAsia="Times New Roman" w:hAnsi="Arial" w:cs="Arial"/>
          <w:color w:val="000000"/>
          <w:sz w:val="19"/>
          <w:szCs w:val="19"/>
          <w:lang w:eastAsia="fr-FR"/>
        </w:rPr>
        <w:t> et, à leur demande, les prérogatives qu'il exerce en application des articles L. 1331-22 à L. 1331-30 du même code.</w:t>
      </w:r>
      <w:r w:rsidRPr="00874A27">
        <w:rPr>
          <w:rFonts w:ascii="Arial" w:eastAsia="Times New Roman" w:hAnsi="Arial" w:cs="Arial"/>
          <w:color w:val="000000"/>
          <w:sz w:val="19"/>
          <w:szCs w:val="19"/>
          <w:lang w:eastAsia="fr-FR"/>
        </w:rPr>
        <w:br/>
        <w:t>« Le maire exerce ces prérogatives au nom et pour le compte de l'Etat, dans des conditions précisées par voie de convention signée avec le représentant de l'Etat dans le département et le directeur général de l'agence régionale de santé ou son délégué. Cette convention, qui tient compte du projet régional de santé, du programme local de l'habitat et du contrat local de santé, fixe :</w:t>
      </w:r>
      <w:r w:rsidRPr="00874A27">
        <w:rPr>
          <w:rFonts w:ascii="Arial" w:eastAsia="Times New Roman" w:hAnsi="Arial" w:cs="Arial"/>
          <w:color w:val="000000"/>
          <w:sz w:val="19"/>
          <w:szCs w:val="19"/>
          <w:lang w:eastAsia="fr-FR"/>
        </w:rPr>
        <w:br/>
        <w:t>« 1° Les objectifs prioritaires de lutte contre l'habitat indigne ;</w:t>
      </w:r>
      <w:r w:rsidRPr="00874A27">
        <w:rPr>
          <w:rFonts w:ascii="Arial" w:eastAsia="Times New Roman" w:hAnsi="Arial" w:cs="Arial"/>
          <w:color w:val="000000"/>
          <w:sz w:val="19"/>
          <w:szCs w:val="19"/>
          <w:lang w:eastAsia="fr-FR"/>
        </w:rPr>
        <w:br/>
        <w:t>« 2° Les moyens humains et financiers prévisionnels affectés à cette mission ;</w:t>
      </w:r>
      <w:r w:rsidRPr="00874A27">
        <w:rPr>
          <w:rFonts w:ascii="Arial" w:eastAsia="Times New Roman" w:hAnsi="Arial" w:cs="Arial"/>
          <w:color w:val="000000"/>
          <w:sz w:val="19"/>
          <w:szCs w:val="19"/>
          <w:lang w:eastAsia="fr-FR"/>
        </w:rPr>
        <w:br/>
        <w:t>« 3° Les conditions de mise en place de dispositifs d'observation de l'habitat indigne ;</w:t>
      </w:r>
      <w:r w:rsidRPr="00874A27">
        <w:rPr>
          <w:rFonts w:ascii="Arial" w:eastAsia="Times New Roman" w:hAnsi="Arial" w:cs="Arial"/>
          <w:color w:val="000000"/>
          <w:sz w:val="19"/>
          <w:szCs w:val="19"/>
          <w:lang w:eastAsia="fr-FR"/>
        </w:rPr>
        <w:br/>
        <w:t>« 4° Les conditions de son évaluation et celles dans lesquelles il est rendu compte annuellement de son exécution.</w:t>
      </w:r>
      <w:r w:rsidRPr="00874A27">
        <w:rPr>
          <w:rFonts w:ascii="Arial" w:eastAsia="Times New Roman" w:hAnsi="Arial" w:cs="Arial"/>
          <w:color w:val="000000"/>
          <w:sz w:val="19"/>
          <w:szCs w:val="19"/>
          <w:lang w:eastAsia="fr-FR"/>
        </w:rPr>
        <w:br/>
        <w:t xml:space="preserve">« Les arrêtés et mesures pris en application des mêmes articles L. 1331-22 à L. 1331-30 le sont </w:t>
      </w:r>
      <w:r w:rsidRPr="00874A27">
        <w:rPr>
          <w:rFonts w:ascii="Arial" w:eastAsia="Times New Roman" w:hAnsi="Arial" w:cs="Arial"/>
          <w:color w:val="000000"/>
          <w:sz w:val="19"/>
          <w:szCs w:val="19"/>
          <w:lang w:eastAsia="fr-FR"/>
        </w:rPr>
        <w:lastRenderedPageBreak/>
        <w:t>dans le respect des procédures afférentes précisées aux mêmes articles.</w:t>
      </w:r>
      <w:r w:rsidRPr="00874A27">
        <w:rPr>
          <w:rFonts w:ascii="Arial" w:eastAsia="Times New Roman" w:hAnsi="Arial" w:cs="Arial"/>
          <w:color w:val="000000"/>
          <w:sz w:val="19"/>
          <w:szCs w:val="19"/>
          <w:lang w:eastAsia="fr-FR"/>
        </w:rPr>
        <w:br/>
        <w:t>« Ces arrêtés sont notifiés au représentant de l'Etat dans le département ainsi qu'au directeur général de l'agence régionale de santé ou à son délégué.</w:t>
      </w:r>
      <w:r w:rsidRPr="00874A27">
        <w:rPr>
          <w:rFonts w:ascii="Arial" w:eastAsia="Times New Roman" w:hAnsi="Arial" w:cs="Arial"/>
          <w:color w:val="000000"/>
          <w:sz w:val="19"/>
          <w:szCs w:val="19"/>
          <w:lang w:eastAsia="fr-FR"/>
        </w:rPr>
        <w:br/>
        <w:t>« Dans le cadre de cette délégation, le maire, en cas de défaillance du propriétaire, procède à l'exécution d'office des mesures et travaux prescrits par l'arrêté et assure l'hébergement temporaire ou le relogement des occupants dans les cas et conditions précisés aux articles L. 521-1 et suivants du présent code.</w:t>
      </w:r>
      <w:r w:rsidRPr="00874A27">
        <w:rPr>
          <w:rFonts w:ascii="Arial" w:eastAsia="Times New Roman" w:hAnsi="Arial" w:cs="Arial"/>
          <w:color w:val="000000"/>
          <w:sz w:val="19"/>
          <w:szCs w:val="19"/>
          <w:lang w:eastAsia="fr-FR"/>
        </w:rPr>
        <w:br/>
        <w:t>« Pour assurer l'hébergement temporaire ou le relogement des occupants, le maire dispose des prérogatives précisées au troisième alinéa de l'article L. 521-3-3.</w:t>
      </w:r>
      <w:r w:rsidRPr="00874A27">
        <w:rPr>
          <w:rFonts w:ascii="Arial" w:eastAsia="Times New Roman" w:hAnsi="Arial" w:cs="Arial"/>
          <w:color w:val="000000"/>
          <w:sz w:val="19"/>
          <w:szCs w:val="19"/>
          <w:lang w:eastAsia="fr-FR"/>
        </w:rPr>
        <w:br/>
        <w:t>« Les créances relatives aux travaux d'office, à l'hébergement ou au relogement des occupants sont recouvrées par la commune comme en matière de contributions directes et sont garanties par les dispositions prévues au </w:t>
      </w:r>
      <w:hyperlink r:id="rId335" w:history="1">
        <w:r w:rsidRPr="00874A27">
          <w:rPr>
            <w:rFonts w:ascii="Arial" w:eastAsia="Times New Roman" w:hAnsi="Arial" w:cs="Arial"/>
            <w:color w:val="336699"/>
            <w:sz w:val="19"/>
            <w:szCs w:val="19"/>
            <w:u w:val="single"/>
            <w:lang w:eastAsia="fr-FR"/>
          </w:rPr>
          <w:t>8° de l'article 2374 du code civil</w:t>
        </w:r>
      </w:hyperlink>
      <w:r w:rsidRPr="00874A27">
        <w:rPr>
          <w:rFonts w:ascii="Arial" w:eastAsia="Times New Roman" w:hAnsi="Arial" w:cs="Arial"/>
          <w:color w:val="000000"/>
          <w:sz w:val="19"/>
          <w:szCs w:val="19"/>
          <w:lang w:eastAsia="fr-FR"/>
        </w:rPr>
        <w:t> et aux articles L. 541-1 et suivants du présent code. »</w:t>
      </w:r>
      <w:r w:rsidRPr="00874A27">
        <w:rPr>
          <w:rFonts w:ascii="Arial" w:eastAsia="Times New Roman" w:hAnsi="Arial" w:cs="Arial"/>
          <w:color w:val="000000"/>
          <w:sz w:val="19"/>
          <w:szCs w:val="19"/>
          <w:lang w:eastAsia="fr-FR"/>
        </w:rPr>
        <w:br/>
        <w:t>IV. ― A la première phrase du premier alinéa du VII de l'article L. 441-2-3 du même code, après le mot : « publique », sont insérés les mots : « , le cas échéant, de l'établissement public de coopération intercommunale ou de la commune bénéficiaire de la délégation prévue aux articles L. 301-5-1-1 et L. 301-5-1-2 du présent code ».</w:t>
      </w:r>
      <w:r w:rsidRPr="00874A27">
        <w:rPr>
          <w:rFonts w:ascii="Arial" w:eastAsia="Times New Roman" w:hAnsi="Arial" w:cs="Arial"/>
          <w:color w:val="000000"/>
          <w:sz w:val="19"/>
          <w:szCs w:val="19"/>
          <w:lang w:eastAsia="fr-FR"/>
        </w:rPr>
        <w:br/>
        <w:t>V. ― Les transferts prévus au </w:t>
      </w:r>
      <w:hyperlink r:id="rId336" w:history="1">
        <w:r w:rsidRPr="00874A27">
          <w:rPr>
            <w:rFonts w:ascii="Arial" w:eastAsia="Times New Roman" w:hAnsi="Arial" w:cs="Arial"/>
            <w:color w:val="336699"/>
            <w:sz w:val="19"/>
            <w:szCs w:val="19"/>
            <w:u w:val="single"/>
            <w:lang w:eastAsia="fr-FR"/>
          </w:rPr>
          <w:t>dernier alinéa du A du I de l'article L. 5211-9-2 du code général des collectivités territoriales</w:t>
        </w:r>
      </w:hyperlink>
      <w:r w:rsidRPr="00874A27">
        <w:rPr>
          <w:rFonts w:ascii="Arial" w:eastAsia="Times New Roman" w:hAnsi="Arial" w:cs="Arial"/>
          <w:color w:val="000000"/>
          <w:sz w:val="19"/>
          <w:szCs w:val="19"/>
          <w:lang w:eastAsia="fr-FR"/>
        </w:rPr>
        <w:t> interviennent à l'expiration des délais d'opposition et de renonciation prévus au III du même article qui suivent la plus prochaine élection du président de l'établissement public de coopération intercommunale suivant la promulgation de la présente loi.</w:t>
      </w:r>
      <w:r w:rsidRPr="00874A27">
        <w:rPr>
          <w:rFonts w:ascii="Arial" w:eastAsia="Times New Roman" w:hAnsi="Arial" w:cs="Arial"/>
          <w:color w:val="000000"/>
          <w:sz w:val="19"/>
          <w:szCs w:val="19"/>
          <w:lang w:eastAsia="fr-FR"/>
        </w:rPr>
        <w:br/>
        <w:t>VI. ― Le </w:t>
      </w:r>
      <w:hyperlink r:id="rId337" w:history="1">
        <w:r w:rsidRPr="00874A27">
          <w:rPr>
            <w:rFonts w:ascii="Arial" w:eastAsia="Times New Roman" w:hAnsi="Arial" w:cs="Arial"/>
            <w:color w:val="336699"/>
            <w:sz w:val="19"/>
            <w:szCs w:val="19"/>
            <w:u w:val="single"/>
            <w:lang w:eastAsia="fr-FR"/>
          </w:rPr>
          <w:t>troisième alinéa du II de l'article 12 de la loi n° 2014-58 du 27 janvier 2014</w:t>
        </w:r>
      </w:hyperlink>
      <w:r w:rsidRPr="00874A27">
        <w:rPr>
          <w:rFonts w:ascii="Arial" w:eastAsia="Times New Roman" w:hAnsi="Arial" w:cs="Arial"/>
          <w:color w:val="000000"/>
          <w:sz w:val="19"/>
          <w:szCs w:val="19"/>
          <w:lang w:eastAsia="fr-FR"/>
        </w:rPr>
        <w:t> de modernisation de l'action publique territoriale et d'affirmation des métropoles est complété par une phrase ainsi rédigée :</w:t>
      </w:r>
      <w:r w:rsidRPr="00874A27">
        <w:rPr>
          <w:rFonts w:ascii="Arial" w:eastAsia="Times New Roman" w:hAnsi="Arial" w:cs="Arial"/>
          <w:color w:val="000000"/>
          <w:sz w:val="19"/>
          <w:szCs w:val="19"/>
          <w:lang w:eastAsia="fr-FR"/>
        </w:rPr>
        <w:br/>
        <w:t>« Il propose également des solutions aux situations particulières relatives à l'exercice des polices spéciales de l'habitat au sein de la métropole du Grand Paris résultant de l'</w:t>
      </w:r>
      <w:hyperlink r:id="rId338" w:history="1">
        <w:r w:rsidRPr="00874A27">
          <w:rPr>
            <w:rFonts w:ascii="Arial" w:eastAsia="Times New Roman" w:hAnsi="Arial" w:cs="Arial"/>
            <w:color w:val="336699"/>
            <w:sz w:val="19"/>
            <w:szCs w:val="19"/>
            <w:u w:val="single"/>
            <w:lang w:eastAsia="fr-FR"/>
          </w:rPr>
          <w:t>article 75 de la loi n° 2014-366 du 24 mars 2014</w:t>
        </w:r>
      </w:hyperlink>
      <w:r w:rsidRPr="00874A27">
        <w:rPr>
          <w:rFonts w:ascii="Arial" w:eastAsia="Times New Roman" w:hAnsi="Arial" w:cs="Arial"/>
          <w:color w:val="000000"/>
          <w:sz w:val="19"/>
          <w:szCs w:val="19"/>
          <w:lang w:eastAsia="fr-FR"/>
        </w:rPr>
        <w:t> pour l'accès au logement et un urbanisme rénové. »</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2 : Améliorer la protection de l'acquéreur immobilier</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75" w:name="JORFARTI000028773919"/>
      <w:bookmarkEnd w:id="75"/>
      <w:r w:rsidRPr="00874A27">
        <w:rPr>
          <w:rFonts w:ascii="Arial" w:eastAsia="Times New Roman" w:hAnsi="Arial" w:cs="Arial"/>
          <w:b/>
          <w:bCs/>
          <w:color w:val="000000"/>
          <w:sz w:val="23"/>
          <w:szCs w:val="23"/>
          <w:lang w:eastAsia="fr-FR"/>
        </w:rPr>
        <w:t>Article 76 </w:t>
      </w:r>
      <w:hyperlink r:id="rId339" w:tooltip="En savoir plus sur l'article 7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chapitre III du titre III du livre Ier du code de la construction et de l'habitation est ainsi modifié :</w:t>
      </w:r>
      <w:r w:rsidRPr="00874A27">
        <w:rPr>
          <w:rFonts w:ascii="Arial" w:eastAsia="Times New Roman" w:hAnsi="Arial" w:cs="Arial"/>
          <w:color w:val="000000"/>
          <w:sz w:val="19"/>
          <w:szCs w:val="19"/>
          <w:lang w:eastAsia="fr-FR"/>
        </w:rPr>
        <w:br/>
        <w:t>1° L'intitulé est complété par les mots : « et la mérule » ;</w:t>
      </w:r>
      <w:r w:rsidRPr="00874A27">
        <w:rPr>
          <w:rFonts w:ascii="Arial" w:eastAsia="Times New Roman" w:hAnsi="Arial" w:cs="Arial"/>
          <w:color w:val="000000"/>
          <w:sz w:val="19"/>
          <w:szCs w:val="19"/>
          <w:lang w:eastAsia="fr-FR"/>
        </w:rPr>
        <w:br/>
        <w:t>2° Au début, est insérée une section 1 intitulée : « Lutte contre les termites » et comprenant les articles L. 133-1 à L. 133-6 ;</w:t>
      </w:r>
      <w:r w:rsidRPr="00874A27">
        <w:rPr>
          <w:rFonts w:ascii="Arial" w:eastAsia="Times New Roman" w:hAnsi="Arial" w:cs="Arial"/>
          <w:color w:val="000000"/>
          <w:sz w:val="19"/>
          <w:szCs w:val="19"/>
          <w:lang w:eastAsia="fr-FR"/>
        </w:rPr>
        <w:br/>
        <w:t>3° Est ajoutée une section 2 ainsi rédigée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Section 2</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Lutte contre la mérule</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133-7. - Dès qu'il a connaissance de la présence de mérule dans un immeuble bâti, l'occupant de l'immeuble contaminé en fait la déclaration en mairie. A défaut d'occupant, la déclaration incombe au propriétaire. Pour les parties communes d'un immeuble relevant de la </w:t>
      </w:r>
      <w:hyperlink r:id="rId340" w:history="1">
        <w:r w:rsidRPr="00874A27">
          <w:rPr>
            <w:rFonts w:ascii="Arial" w:eastAsia="Times New Roman" w:hAnsi="Arial" w:cs="Arial"/>
            <w:color w:val="336699"/>
            <w:sz w:val="19"/>
            <w:szCs w:val="19"/>
            <w:u w:val="single"/>
            <w:lang w:eastAsia="fr-FR"/>
          </w:rPr>
          <w:t>loi n° 65-557 du 10 juillet 1965</w:t>
        </w:r>
      </w:hyperlink>
      <w:r w:rsidRPr="00874A27">
        <w:rPr>
          <w:rFonts w:ascii="Arial" w:eastAsia="Times New Roman" w:hAnsi="Arial" w:cs="Arial"/>
          <w:color w:val="000000"/>
          <w:sz w:val="19"/>
          <w:szCs w:val="19"/>
          <w:lang w:eastAsia="fr-FR"/>
        </w:rPr>
        <w:t> fixant le statut de la copropriété des immeubles bâtis, la déclaration incombe au syndicat des copropriétaires.</w:t>
      </w:r>
      <w:r w:rsidRPr="00874A27">
        <w:rPr>
          <w:rFonts w:ascii="Arial" w:eastAsia="Times New Roman" w:hAnsi="Arial" w:cs="Arial"/>
          <w:color w:val="000000"/>
          <w:sz w:val="19"/>
          <w:szCs w:val="19"/>
          <w:lang w:eastAsia="fr-FR"/>
        </w:rPr>
        <w:br/>
        <w:t>« Art. L. 133-8. - Lorsque, dans une ou plusieurs communes, des foyers de mérule sont identifiés, un arrêté préfectoral, consultable en préfecture, pris sur proposition ou après consultation des conseils municipaux intéressés, délimite les zones de présence d'un risque de mérule.</w:t>
      </w:r>
      <w:r w:rsidRPr="00874A27">
        <w:rPr>
          <w:rFonts w:ascii="Arial" w:eastAsia="Times New Roman" w:hAnsi="Arial" w:cs="Arial"/>
          <w:color w:val="000000"/>
          <w:sz w:val="19"/>
          <w:szCs w:val="19"/>
          <w:lang w:eastAsia="fr-FR"/>
        </w:rPr>
        <w:br/>
        <w:t>« En cas de démolition totale ou partielle d'un bâtiment situé dans ces zones, les bois et matériaux contaminés sont incinérés sur place ou traités avant tout transport si leur destruction par incinération sur place est impossible. La personne qui a procédé à ces opérations en fait la déclaration en mairie.</w:t>
      </w:r>
      <w:r w:rsidRPr="00874A27">
        <w:rPr>
          <w:rFonts w:ascii="Arial" w:eastAsia="Times New Roman" w:hAnsi="Arial" w:cs="Arial"/>
          <w:color w:val="000000"/>
          <w:sz w:val="19"/>
          <w:szCs w:val="19"/>
          <w:lang w:eastAsia="fr-FR"/>
        </w:rPr>
        <w:br/>
        <w:t>« Art. L. 133-9. - En cas de vente de tout ou partie d'un immeuble bâti situé dans une zone délimitée en application de l'article L. 133-8, une information sur la présence d'un risque de mérule est produite dans les conditions et selon les modalités prévues à l'article L. 271-4. »</w:t>
      </w:r>
      <w:r w:rsidRPr="00874A27">
        <w:rPr>
          <w:rFonts w:ascii="Arial" w:eastAsia="Times New Roman" w:hAnsi="Arial" w:cs="Arial"/>
          <w:color w:val="000000"/>
          <w:sz w:val="19"/>
          <w:szCs w:val="19"/>
          <w:lang w:eastAsia="fr-FR"/>
        </w:rPr>
        <w:br/>
        <w:t>II. ― Après le 8° du I de l'article L. 271-4 du même code, il est inséré un 9° ainsi rédigé :</w:t>
      </w:r>
      <w:r w:rsidRPr="00874A27">
        <w:rPr>
          <w:rFonts w:ascii="Arial" w:eastAsia="Times New Roman" w:hAnsi="Arial" w:cs="Arial"/>
          <w:color w:val="000000"/>
          <w:sz w:val="19"/>
          <w:szCs w:val="19"/>
          <w:lang w:eastAsia="fr-FR"/>
        </w:rPr>
        <w:br/>
        <w:t>« 9° Dans les zones prévues à l'article L. 133-8, l'information sur la présence d'un risque de mérule. »</w:t>
      </w:r>
    </w:p>
    <w:p w:rsidR="00874A27" w:rsidRPr="00874A27" w:rsidRDefault="00874A27" w:rsidP="00874A27">
      <w:pPr>
        <w:numPr>
          <w:ilvl w:val="2"/>
          <w:numId w:val="2"/>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lastRenderedPageBreak/>
        <w:t>Section 3 : Améliorer la lutte contre les marchands de sommeil et l'habitat indigne</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76" w:name="JORFARTI000028773930"/>
      <w:bookmarkEnd w:id="76"/>
      <w:r w:rsidRPr="00874A27">
        <w:rPr>
          <w:rFonts w:ascii="Arial" w:eastAsia="Times New Roman" w:hAnsi="Arial" w:cs="Arial"/>
          <w:b/>
          <w:bCs/>
          <w:color w:val="000000"/>
          <w:sz w:val="23"/>
          <w:szCs w:val="23"/>
          <w:lang w:eastAsia="fr-FR"/>
        </w:rPr>
        <w:t>Article 77 </w:t>
      </w:r>
      <w:hyperlink r:id="rId341" w:tooltip="En savoir plus sur l'article 7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pénal est ainsi modifié :</w:t>
      </w:r>
      <w:r w:rsidRPr="00874A27">
        <w:rPr>
          <w:rFonts w:ascii="Arial" w:eastAsia="Times New Roman" w:hAnsi="Arial" w:cs="Arial"/>
          <w:color w:val="000000"/>
          <w:sz w:val="19"/>
          <w:szCs w:val="19"/>
          <w:lang w:eastAsia="fr-FR"/>
        </w:rPr>
        <w:br/>
        <w:t>1° Après le 5° de l'article 225-19, il est inséré un 5° bis ainsi rédigé :</w:t>
      </w:r>
      <w:r w:rsidRPr="00874A27">
        <w:rPr>
          <w:rFonts w:ascii="Arial" w:eastAsia="Times New Roman" w:hAnsi="Arial" w:cs="Arial"/>
          <w:color w:val="000000"/>
          <w:sz w:val="19"/>
          <w:szCs w:val="19"/>
          <w:lang w:eastAsia="fr-FR"/>
        </w:rPr>
        <w:br/>
        <w:t>« 5° bis. Pour l'infraction prévue à l'article 225-14, l'interdiction d'acheter pour une durée de cinq ans au plus soit à titre personnel, soit en tant qu'associé ou mandataire social de la société civile immobilière ou en nom collectif se portant acquéreur, soit sous forme de parts immobilières un bien immobilier à usage d'habitation, à d'autres fins que son occupation à titre personnel, ou un fonds de commerce d'un établissement recevant du public à usage total ou partiel d'hébergement ; »</w:t>
      </w:r>
      <w:r w:rsidRPr="00874A27">
        <w:rPr>
          <w:rFonts w:ascii="Arial" w:eastAsia="Times New Roman" w:hAnsi="Arial" w:cs="Arial"/>
          <w:color w:val="000000"/>
          <w:sz w:val="19"/>
          <w:szCs w:val="19"/>
          <w:lang w:eastAsia="fr-FR"/>
        </w:rPr>
        <w:br/>
        <w:t>2° Le premier alinéa de l'article 434-41 est complété par les mots : « , d'interdiction d'acheter un bien immobilier ou un fonds de commerce d'un établissement recevant du public à usage total ou partiel d'hébergement résultant de la peine complémentaire prévue au 5° bis de l'article 225-19 du présent code, au </w:t>
      </w:r>
      <w:hyperlink r:id="rId342" w:history="1">
        <w:r w:rsidRPr="00874A27">
          <w:rPr>
            <w:rFonts w:ascii="Arial" w:eastAsia="Times New Roman" w:hAnsi="Arial" w:cs="Arial"/>
            <w:color w:val="336699"/>
            <w:sz w:val="19"/>
            <w:szCs w:val="19"/>
            <w:u w:val="single"/>
            <w:lang w:eastAsia="fr-FR"/>
          </w:rPr>
          <w:t>3° du III de l'article L. 511-6 du code de la construction et de l'habitation</w:t>
        </w:r>
      </w:hyperlink>
      <w:r w:rsidRPr="00874A27">
        <w:rPr>
          <w:rFonts w:ascii="Arial" w:eastAsia="Times New Roman" w:hAnsi="Arial" w:cs="Arial"/>
          <w:color w:val="000000"/>
          <w:sz w:val="19"/>
          <w:szCs w:val="19"/>
          <w:lang w:eastAsia="fr-FR"/>
        </w:rPr>
        <w:t> et au </w:t>
      </w:r>
      <w:hyperlink r:id="rId343" w:history="1">
        <w:r w:rsidRPr="00874A27">
          <w:rPr>
            <w:rFonts w:ascii="Arial" w:eastAsia="Times New Roman" w:hAnsi="Arial" w:cs="Arial"/>
            <w:color w:val="336699"/>
            <w:sz w:val="19"/>
            <w:szCs w:val="19"/>
            <w:u w:val="single"/>
            <w:lang w:eastAsia="fr-FR"/>
          </w:rPr>
          <w:t>3° du IV de l'article L. 1337-4 du code de la santé publique</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II. ― Le IV de l'article L. 1337-4 du code de la santé publique est complété par un 3° ainsi rédigé :</w:t>
      </w:r>
      <w:r w:rsidRPr="00874A27">
        <w:rPr>
          <w:rFonts w:ascii="Arial" w:eastAsia="Times New Roman" w:hAnsi="Arial" w:cs="Arial"/>
          <w:color w:val="000000"/>
          <w:sz w:val="19"/>
          <w:szCs w:val="19"/>
          <w:lang w:eastAsia="fr-FR"/>
        </w:rPr>
        <w:br/>
        <w:t>« 3° L'interdiction d'acheter pour une durée de cinq ans au plus soit à titre personnel, soit en tant qu'associé ou mandataire social de la société civile immobilière ou en nom collectif se portant acquéreur, soit sous forme de parts immobilières un bien immobilier à usage d'habitation, à d'autres fins que son occupation à titre personnel, ou un fonds de commerce d'un établissement recevant du public à usage total ou partiel d'hébergement. »</w:t>
      </w:r>
      <w:r w:rsidRPr="00874A27">
        <w:rPr>
          <w:rFonts w:ascii="Arial" w:eastAsia="Times New Roman" w:hAnsi="Arial" w:cs="Arial"/>
          <w:color w:val="000000"/>
          <w:sz w:val="19"/>
          <w:szCs w:val="19"/>
          <w:lang w:eastAsia="fr-FR"/>
        </w:rPr>
        <w:br/>
        <w:t>III. ― Le V de l'article L. 123-3 du code de la construction et de l'habitation est complété par un 3° ainsi rédigé :</w:t>
      </w:r>
      <w:r w:rsidRPr="00874A27">
        <w:rPr>
          <w:rFonts w:ascii="Arial" w:eastAsia="Times New Roman" w:hAnsi="Arial" w:cs="Arial"/>
          <w:color w:val="000000"/>
          <w:sz w:val="19"/>
          <w:szCs w:val="19"/>
          <w:lang w:eastAsia="fr-FR"/>
        </w:rPr>
        <w:br/>
        <w:t>« 3° L'interdiction d'acheter pour une durée de cinq ans au plus soit à titre personnel, soit en tant qu'associé ou mandataire social de la société civile immobilière ou en nom collectif se portant acquéreur, soit sous forme de parts immobilières un bien immobilier à usage d'habitation, à d'autres fins que son occupation à titre personnel. »</w:t>
      </w:r>
      <w:r w:rsidRPr="00874A27">
        <w:rPr>
          <w:rFonts w:ascii="Arial" w:eastAsia="Times New Roman" w:hAnsi="Arial" w:cs="Arial"/>
          <w:color w:val="000000"/>
          <w:sz w:val="19"/>
          <w:szCs w:val="19"/>
          <w:lang w:eastAsia="fr-FR"/>
        </w:rPr>
        <w:br/>
        <w:t>IV. ― Le livre V du même code est ainsi modifié :</w:t>
      </w:r>
      <w:r w:rsidRPr="00874A27">
        <w:rPr>
          <w:rFonts w:ascii="Arial" w:eastAsia="Times New Roman" w:hAnsi="Arial" w:cs="Arial"/>
          <w:color w:val="000000"/>
          <w:sz w:val="19"/>
          <w:szCs w:val="19"/>
          <w:lang w:eastAsia="fr-FR"/>
        </w:rPr>
        <w:br/>
        <w:t>1° L'intitulé est ainsi rédigé : « Habitat indigne » ;</w:t>
      </w:r>
      <w:r w:rsidRPr="00874A27">
        <w:rPr>
          <w:rFonts w:ascii="Arial" w:eastAsia="Times New Roman" w:hAnsi="Arial" w:cs="Arial"/>
          <w:color w:val="000000"/>
          <w:sz w:val="19"/>
          <w:szCs w:val="19"/>
          <w:lang w:eastAsia="fr-FR"/>
        </w:rPr>
        <w:br/>
        <w:t>2° Le III de l'article L. 511-6 est complété par un 3° ainsi rédigé :</w:t>
      </w:r>
      <w:r w:rsidRPr="00874A27">
        <w:rPr>
          <w:rFonts w:ascii="Arial" w:eastAsia="Times New Roman" w:hAnsi="Arial" w:cs="Arial"/>
          <w:color w:val="000000"/>
          <w:sz w:val="19"/>
          <w:szCs w:val="19"/>
          <w:lang w:eastAsia="fr-FR"/>
        </w:rPr>
        <w:br/>
        <w:t>« 3° L'interdiction d'acheter pour une durée de cinq ans au plus soit à titre personnel, soit en tant qu'associé ou mandataire social de la société civile immobilière ou en nom collectif se portant acquéreur, soit sous forme de parts immobilières un bien immobilier à usage d'habitation, à d'autres fins que son occupation à titre personnel, ou un fonds de commerce d'un établissement recevant du public à usage total ou partiel d'hébergement. » ;</w:t>
      </w:r>
      <w:r w:rsidRPr="00874A27">
        <w:rPr>
          <w:rFonts w:ascii="Arial" w:eastAsia="Times New Roman" w:hAnsi="Arial" w:cs="Arial"/>
          <w:color w:val="000000"/>
          <w:sz w:val="19"/>
          <w:szCs w:val="19"/>
          <w:lang w:eastAsia="fr-FR"/>
        </w:rPr>
        <w:br/>
        <w:t>3° Il est ajouté un titre V 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V</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LUTTE CONTRE L'HABITAT INDIGNE</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unique</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551-1. - I. ― Pour l'application de la peine d'interdiction d'acheter un bien immobilier à usage d'habitation ou un fonds de commerce d'un établissement recevant du public à usage total ou partiel d'hébergement prévue au </w:t>
      </w:r>
      <w:hyperlink r:id="rId344" w:history="1">
        <w:r w:rsidRPr="00874A27">
          <w:rPr>
            <w:rFonts w:ascii="Arial" w:eastAsia="Times New Roman" w:hAnsi="Arial" w:cs="Arial"/>
            <w:color w:val="336699"/>
            <w:sz w:val="19"/>
            <w:szCs w:val="19"/>
            <w:u w:val="single"/>
            <w:lang w:eastAsia="fr-FR"/>
          </w:rPr>
          <w:t>5° bis de l'article 225-19 du code pénal</w:t>
        </w:r>
      </w:hyperlink>
      <w:r w:rsidRPr="00874A27">
        <w:rPr>
          <w:rFonts w:ascii="Arial" w:eastAsia="Times New Roman" w:hAnsi="Arial" w:cs="Arial"/>
          <w:color w:val="000000"/>
          <w:sz w:val="19"/>
          <w:szCs w:val="19"/>
          <w:lang w:eastAsia="fr-FR"/>
        </w:rPr>
        <w:t>, au </w:t>
      </w:r>
      <w:hyperlink r:id="rId345" w:history="1">
        <w:r w:rsidRPr="00874A27">
          <w:rPr>
            <w:rFonts w:ascii="Arial" w:eastAsia="Times New Roman" w:hAnsi="Arial" w:cs="Arial"/>
            <w:color w:val="336699"/>
            <w:sz w:val="19"/>
            <w:szCs w:val="19"/>
            <w:u w:val="single"/>
            <w:lang w:eastAsia="fr-FR"/>
          </w:rPr>
          <w:t>3° du IV de l'article L. 1337-4 du code de la santé publique</w:t>
        </w:r>
      </w:hyperlink>
      <w:r w:rsidRPr="00874A27">
        <w:rPr>
          <w:rFonts w:ascii="Arial" w:eastAsia="Times New Roman" w:hAnsi="Arial" w:cs="Arial"/>
          <w:color w:val="000000"/>
          <w:sz w:val="19"/>
          <w:szCs w:val="19"/>
          <w:lang w:eastAsia="fr-FR"/>
        </w:rPr>
        <w:t>, au 3° du VII de l'article L. 123-3 et au 3° du III de l'article L. 511-6 du présent code, le notaire chargé d'établir l'acte authentique de vente d'un bien immobilier à usage d'habitation ou d'un fonds de commerce d'un établissement recevant du public à usage total ou partiel d'hébergement vérifie si l'acquéreur a fait l'objet de l'une de ces condamnations. A cette fin, il interroge le casier judiciaire national par l'intermédiaire de l'Association pour le développement du service notarial placée sous le contrôle du Conseil supérieur du notariat, qui lui indique si l'acheteur personne physique ou l'un des associés ou mandataires sociaux de la société civile immobilière ou en nom collectif se portant acquéreur est dans la situation mentionnée ci-dessus.</w:t>
      </w:r>
      <w:r w:rsidRPr="00874A27">
        <w:rPr>
          <w:rFonts w:ascii="Arial" w:eastAsia="Times New Roman" w:hAnsi="Arial" w:cs="Arial"/>
          <w:color w:val="000000"/>
          <w:sz w:val="19"/>
          <w:szCs w:val="19"/>
          <w:lang w:eastAsia="fr-FR"/>
        </w:rPr>
        <w:br/>
        <w:t>« Lorsqu'il résulte de cette procédure que l'acquéreur a fait l'objet d'une condamnation définitive à la peine mentionnée au premier alinéa, l'acte authentique n'est pas signé et l'avant-contrat de vente signé antérieurement est réputé nul et non avenu aux torts de l'acquéreur.</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II. ― L'acte authentique de vente d'un bien immobilier à usage d'habitation au profit d'un acquéreur ayant fait l'objet de l'une des condamnations mentionnées au I peut toutefois être signé si l'acquéreur atteste, dans l'acte de vente, que le bien est destiné à son occupation personnelle. Dans ce cas, l'acte de vente et l'attestation sont notifiés à l'administration fiscale par le notaire.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77" w:name="JORFARTI000028773950"/>
      <w:bookmarkEnd w:id="77"/>
      <w:r w:rsidRPr="00874A27">
        <w:rPr>
          <w:rFonts w:ascii="Arial" w:eastAsia="Times New Roman" w:hAnsi="Arial" w:cs="Arial"/>
          <w:b/>
          <w:bCs/>
          <w:color w:val="000000"/>
          <w:sz w:val="23"/>
          <w:szCs w:val="23"/>
          <w:lang w:eastAsia="fr-FR"/>
        </w:rPr>
        <w:t>Article 78 </w:t>
      </w:r>
      <w:hyperlink r:id="rId346" w:tooltip="En savoir plus sur l'article 7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1311-2 du code de la santé publique est complété par un alinéa ainsi rédigé :</w:t>
      </w:r>
      <w:r w:rsidRPr="00874A27">
        <w:rPr>
          <w:rFonts w:ascii="Arial" w:eastAsia="Times New Roman" w:hAnsi="Arial" w:cs="Arial"/>
          <w:color w:val="000000"/>
          <w:sz w:val="19"/>
          <w:szCs w:val="19"/>
          <w:lang w:eastAsia="fr-FR"/>
        </w:rPr>
        <w:br/>
        <w:t>« Pour les infractions aux arrêtés mentionnés au premier alinéa, l'action publique est éteinte par le paiement d'une amende forfaitaire, qui est exclusive de l'application des règles de la récidive. Toutefois, la procédure de l'amende forfaitaire n'est pas applicable si plusieurs infractions, dont l'une au moins ne peut donner lieu à une amende forfaitaire, ont été constatées simultanément ou lorsque la loi prévoit que la récidive de la contravention constitue un délit. Le montant de l'amende forfaitaire peut être acquitté soit entre les mains de l'agent verbalisateur au moment de la constatation de l'infraction, soit auprès du service indiqué dans l'avis de contravention, dans les quarante-cinq jours qui suivent la constatation de l'infraction ou, si cet avis est ultérieurement envoyé à l'intéressé, dans les quarante-cinq jours qui suivent cet envoi.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78" w:name="JORFARTI000028773953"/>
      <w:bookmarkEnd w:id="78"/>
      <w:r w:rsidRPr="00874A27">
        <w:rPr>
          <w:rFonts w:ascii="Arial" w:eastAsia="Times New Roman" w:hAnsi="Arial" w:cs="Arial"/>
          <w:b/>
          <w:bCs/>
          <w:color w:val="000000"/>
          <w:sz w:val="23"/>
          <w:szCs w:val="23"/>
          <w:lang w:eastAsia="fr-FR"/>
        </w:rPr>
        <w:t>Article 79 </w:t>
      </w:r>
      <w:hyperlink r:id="rId347" w:tooltip="En savoir plus sur l'article 7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1331-28 du même code est ainsi modifié :</w:t>
      </w:r>
      <w:r w:rsidRPr="00874A27">
        <w:rPr>
          <w:rFonts w:ascii="Arial" w:eastAsia="Times New Roman" w:hAnsi="Arial" w:cs="Arial"/>
          <w:color w:val="000000"/>
          <w:sz w:val="19"/>
          <w:szCs w:val="19"/>
          <w:lang w:eastAsia="fr-FR"/>
        </w:rPr>
        <w:br/>
        <w:t>1° Au premier alinéa du II, après le mot : « prescrit », sont insérés les mots : « par arrêté » ;</w:t>
      </w:r>
      <w:r w:rsidRPr="00874A27">
        <w:rPr>
          <w:rFonts w:ascii="Arial" w:eastAsia="Times New Roman" w:hAnsi="Arial" w:cs="Arial"/>
          <w:color w:val="000000"/>
          <w:sz w:val="19"/>
          <w:szCs w:val="19"/>
          <w:lang w:eastAsia="fr-FR"/>
        </w:rPr>
        <w:br/>
        <w:t>2° Après le deuxième alinéa du II, il est inséré un alinéa ainsi rédigé :</w:t>
      </w:r>
      <w:r w:rsidRPr="00874A27">
        <w:rPr>
          <w:rFonts w:ascii="Arial" w:eastAsia="Times New Roman" w:hAnsi="Arial" w:cs="Arial"/>
          <w:color w:val="000000"/>
          <w:sz w:val="19"/>
          <w:szCs w:val="19"/>
          <w:lang w:eastAsia="fr-FR"/>
        </w:rPr>
        <w:br/>
        <w:t>« L'arrêté prévu au premier alinéa du présent II précise que la non-exécution des mesures et travaux dans le délai qu'il prescrit expose le propriétaire au paiement d'une astreinte par jour de retard dans les conditions prévues à l'article L. 1331-29. » ;</w:t>
      </w:r>
      <w:r w:rsidRPr="00874A27">
        <w:rPr>
          <w:rFonts w:ascii="Arial" w:eastAsia="Times New Roman" w:hAnsi="Arial" w:cs="Arial"/>
          <w:color w:val="000000"/>
          <w:sz w:val="19"/>
          <w:szCs w:val="19"/>
          <w:lang w:eastAsia="fr-FR"/>
        </w:rPr>
        <w:br/>
        <w:t>3° Le dernier alinéa du II devient un III et, à la première phrase, les mots : « ces mesures » sont remplacés par les mots : « les mesures mentionnées au II » ;</w:t>
      </w:r>
      <w:r w:rsidRPr="00874A27">
        <w:rPr>
          <w:rFonts w:ascii="Arial" w:eastAsia="Times New Roman" w:hAnsi="Arial" w:cs="Arial"/>
          <w:color w:val="000000"/>
          <w:sz w:val="19"/>
          <w:szCs w:val="19"/>
          <w:lang w:eastAsia="fr-FR"/>
        </w:rPr>
        <w:br/>
        <w:t>4° Le III devient un IV.</w:t>
      </w:r>
      <w:r w:rsidRPr="00874A27">
        <w:rPr>
          <w:rFonts w:ascii="Arial" w:eastAsia="Times New Roman" w:hAnsi="Arial" w:cs="Arial"/>
          <w:color w:val="000000"/>
          <w:sz w:val="19"/>
          <w:szCs w:val="19"/>
          <w:lang w:eastAsia="fr-FR"/>
        </w:rPr>
        <w:br/>
        <w:t>II. ― Au dernier alinéa de l'article L. 1331-25 du même code, la référence : « III » est remplacée par la référence : « IV ».</w:t>
      </w:r>
      <w:r w:rsidRPr="00874A27">
        <w:rPr>
          <w:rFonts w:ascii="Arial" w:eastAsia="Times New Roman" w:hAnsi="Arial" w:cs="Arial"/>
          <w:color w:val="000000"/>
          <w:sz w:val="19"/>
          <w:szCs w:val="19"/>
          <w:lang w:eastAsia="fr-FR"/>
        </w:rPr>
        <w:br/>
        <w:t>III. ― L'article L. 1331-29 du même code est ainsi modifié :</w:t>
      </w:r>
      <w:r w:rsidRPr="00874A27">
        <w:rPr>
          <w:rFonts w:ascii="Arial" w:eastAsia="Times New Roman" w:hAnsi="Arial" w:cs="Arial"/>
          <w:color w:val="000000"/>
          <w:sz w:val="19"/>
          <w:szCs w:val="19"/>
          <w:lang w:eastAsia="fr-FR"/>
        </w:rPr>
        <w:br/>
        <w:t>1° Les III et IV deviennent, respectivement, des IV et V ;</w:t>
      </w:r>
      <w:r w:rsidRPr="00874A27">
        <w:rPr>
          <w:rFonts w:ascii="Arial" w:eastAsia="Times New Roman" w:hAnsi="Arial" w:cs="Arial"/>
          <w:color w:val="000000"/>
          <w:sz w:val="19"/>
          <w:szCs w:val="19"/>
          <w:lang w:eastAsia="fr-FR"/>
        </w:rPr>
        <w:br/>
        <w:t>2° Après le II, il est rétabli un III ainsi rédigé :</w:t>
      </w:r>
      <w:r w:rsidRPr="00874A27">
        <w:rPr>
          <w:rFonts w:ascii="Arial" w:eastAsia="Times New Roman" w:hAnsi="Arial" w:cs="Arial"/>
          <w:color w:val="000000"/>
          <w:sz w:val="19"/>
          <w:szCs w:val="19"/>
          <w:lang w:eastAsia="fr-FR"/>
        </w:rPr>
        <w:br/>
        <w:t>« III. ― Si les mesures prescrites par l'arrêté prévu au II de l'article L. 1331-28 n'ont pas été exécutées dans le délai imparti, l'autorité administrative peut également, sans attendre l'expiration du délai fixé par la mise en demeure, appliquer par arrêté une astreinte d'un montant maximal de 1 000 € par jour de retard à l'encontre du propriétaire défaillant. Son montant peut être progressif dans le temps et modulé dans des conditions fixées par voie réglementaire, tenant compte de l'ampleur des mesures et travaux prescrits et des conséquences de la non-exécution.</w:t>
      </w:r>
      <w:r w:rsidRPr="00874A27">
        <w:rPr>
          <w:rFonts w:ascii="Arial" w:eastAsia="Times New Roman" w:hAnsi="Arial" w:cs="Arial"/>
          <w:color w:val="000000"/>
          <w:sz w:val="19"/>
          <w:szCs w:val="19"/>
          <w:lang w:eastAsia="fr-FR"/>
        </w:rPr>
        <w:br/>
        <w:t>« Si les mesures prescrites concernent un établissement recevant du public aux fins d'hébergement, l'arrêté appliquant l'astreinte est notifié au propriétaire de l'immeuble et à l'exploitant, lesquels sont alors solidairement tenus au paiement de l'astreinte.</w:t>
      </w:r>
      <w:r w:rsidRPr="00874A27">
        <w:rPr>
          <w:rFonts w:ascii="Arial" w:eastAsia="Times New Roman" w:hAnsi="Arial" w:cs="Arial"/>
          <w:color w:val="000000"/>
          <w:sz w:val="19"/>
          <w:szCs w:val="19"/>
          <w:lang w:eastAsia="fr-FR"/>
        </w:rPr>
        <w:br/>
        <w:t>« Lorsque l'arrêté d'insalubrité concerne tout ou partie des parties communes d'un immeuble soumis à la </w:t>
      </w:r>
      <w:hyperlink r:id="rId348" w:history="1">
        <w:r w:rsidRPr="00874A27">
          <w:rPr>
            <w:rFonts w:ascii="Arial" w:eastAsia="Times New Roman" w:hAnsi="Arial" w:cs="Arial"/>
            <w:color w:val="336699"/>
            <w:sz w:val="19"/>
            <w:szCs w:val="19"/>
            <w:u w:val="single"/>
            <w:lang w:eastAsia="fr-FR"/>
          </w:rPr>
          <w:t>loi n° 65-557 du 10 juillet 1965</w:t>
        </w:r>
      </w:hyperlink>
      <w:r w:rsidRPr="00874A27">
        <w:rPr>
          <w:rFonts w:ascii="Arial" w:eastAsia="Times New Roman" w:hAnsi="Arial" w:cs="Arial"/>
          <w:color w:val="000000"/>
          <w:sz w:val="19"/>
          <w:szCs w:val="19"/>
          <w:lang w:eastAsia="fr-FR"/>
        </w:rPr>
        <w:t> fixant le statut de la copropriété des immeubles bâtis, l'astreinte est appliquée dans les conditions fixées à l'article L. 543-1 du code de la construction et de l'habitation.</w:t>
      </w:r>
      <w:r w:rsidRPr="00874A27">
        <w:rPr>
          <w:rFonts w:ascii="Arial" w:eastAsia="Times New Roman" w:hAnsi="Arial" w:cs="Arial"/>
          <w:color w:val="000000"/>
          <w:sz w:val="19"/>
          <w:szCs w:val="19"/>
          <w:lang w:eastAsia="fr-FR"/>
        </w:rPr>
        <w:br/>
        <w:t>« Lorsque l'arrêté concerne un immeuble en indivision, l'astreinte est appliquée dans les conditions fixées à l'article L. 541-2-1 du même code.</w:t>
      </w:r>
      <w:r w:rsidRPr="00874A27">
        <w:rPr>
          <w:rFonts w:ascii="Arial" w:eastAsia="Times New Roman" w:hAnsi="Arial" w:cs="Arial"/>
          <w:color w:val="000000"/>
          <w:sz w:val="19"/>
          <w:szCs w:val="19"/>
          <w:lang w:eastAsia="fr-FR"/>
        </w:rPr>
        <w:br/>
        <w:t>« L'astreinte court à compter de la notification de l'arrêté la prononçant et jusqu'à la complète exécution des mesures prescrites. Le recouvrement des sommes est engagé par trimestre échu.</w:t>
      </w:r>
      <w:r w:rsidRPr="00874A27">
        <w:rPr>
          <w:rFonts w:ascii="Arial" w:eastAsia="Times New Roman" w:hAnsi="Arial" w:cs="Arial"/>
          <w:color w:val="000000"/>
          <w:sz w:val="19"/>
          <w:szCs w:val="19"/>
          <w:lang w:eastAsia="fr-FR"/>
        </w:rPr>
        <w:br/>
        <w:t>« L'autorité administrative peut, lors de la liquidation du dernier terme échu, consentir une remise de son produit si les mesures ou travaux prescrits par l'arrêté d'insalubrité ont été exécutés et si le redevable établit que le non-respect du délai imposé pour l'exécution totale de ses obligations est exclusivement dû à des circonstances indépendantes de sa volonté. Le total des sommes demandées ne peut être supérieur au montant de l'amende prévue au I de l'article L. 1337-4.</w:t>
      </w:r>
      <w:r w:rsidRPr="00874A27">
        <w:rPr>
          <w:rFonts w:ascii="Arial" w:eastAsia="Times New Roman" w:hAnsi="Arial" w:cs="Arial"/>
          <w:color w:val="000000"/>
          <w:sz w:val="19"/>
          <w:szCs w:val="19"/>
          <w:lang w:eastAsia="fr-FR"/>
        </w:rPr>
        <w:br/>
        <w:t>« L'astreinte est liquidée et recouvrée par l'Etat. Après prélèvement de 4 % pour frais de recouvrement sur les sommes perçues, 43 % des sommes sont versées au budget de l'Agence nationale de l'habitat.</w:t>
      </w:r>
      <w:r w:rsidRPr="00874A27">
        <w:rPr>
          <w:rFonts w:ascii="Arial" w:eastAsia="Times New Roman" w:hAnsi="Arial" w:cs="Arial"/>
          <w:color w:val="000000"/>
          <w:sz w:val="19"/>
          <w:szCs w:val="19"/>
          <w:lang w:eastAsia="fr-FR"/>
        </w:rPr>
        <w:br/>
        <w:t xml:space="preserve">« L'application de l'astreinte et sa liquidation ne font pas obstacle à l'exécution d'office par l'autorité </w:t>
      </w:r>
      <w:r w:rsidRPr="00874A27">
        <w:rPr>
          <w:rFonts w:ascii="Arial" w:eastAsia="Times New Roman" w:hAnsi="Arial" w:cs="Arial"/>
          <w:color w:val="000000"/>
          <w:sz w:val="19"/>
          <w:szCs w:val="19"/>
          <w:lang w:eastAsia="fr-FR"/>
        </w:rPr>
        <w:lastRenderedPageBreak/>
        <w:t>administrative des mesures et travaux prescrits par l'arrêté prévu au II de l'article L. 1331-28. Dans ce cas, le montant de l'astreinte, qui s'ajoute à celui du coût des mesures et des travaux exécutés d'office, est garanti par les dispositions prévues au </w:t>
      </w:r>
      <w:hyperlink r:id="rId349" w:history="1">
        <w:r w:rsidRPr="00874A27">
          <w:rPr>
            <w:rFonts w:ascii="Arial" w:eastAsia="Times New Roman" w:hAnsi="Arial" w:cs="Arial"/>
            <w:color w:val="336699"/>
            <w:sz w:val="19"/>
            <w:szCs w:val="19"/>
            <w:u w:val="single"/>
            <w:lang w:eastAsia="fr-FR"/>
          </w:rPr>
          <w:t>8° de l'article 2374 du code civil</w:t>
        </w:r>
      </w:hyperlink>
      <w:r w:rsidRPr="00874A27">
        <w:rPr>
          <w:rFonts w:ascii="Arial" w:eastAsia="Times New Roman" w:hAnsi="Arial" w:cs="Arial"/>
          <w:color w:val="000000"/>
          <w:sz w:val="19"/>
          <w:szCs w:val="19"/>
          <w:lang w:eastAsia="fr-FR"/>
        </w:rPr>
        <w:t>. Les </w:t>
      </w:r>
      <w:hyperlink r:id="rId350" w:history="1">
        <w:r w:rsidRPr="00874A27">
          <w:rPr>
            <w:rFonts w:ascii="Arial" w:eastAsia="Times New Roman" w:hAnsi="Arial" w:cs="Arial"/>
            <w:color w:val="336699"/>
            <w:sz w:val="19"/>
            <w:szCs w:val="19"/>
            <w:u w:val="single"/>
            <w:lang w:eastAsia="fr-FR"/>
          </w:rPr>
          <w:t>articles L. 541-1 et suivants du code de la construction et de l'habitation</w:t>
        </w:r>
      </w:hyperlink>
      <w:r w:rsidRPr="00874A27">
        <w:rPr>
          <w:rFonts w:ascii="Arial" w:eastAsia="Times New Roman" w:hAnsi="Arial" w:cs="Arial"/>
          <w:color w:val="000000"/>
          <w:sz w:val="19"/>
          <w:szCs w:val="19"/>
          <w:lang w:eastAsia="fr-FR"/>
        </w:rPr>
        <w:t> sont applicables. » ;</w:t>
      </w:r>
      <w:r w:rsidRPr="00874A27">
        <w:rPr>
          <w:rFonts w:ascii="Arial" w:eastAsia="Times New Roman" w:hAnsi="Arial" w:cs="Arial"/>
          <w:color w:val="000000"/>
          <w:sz w:val="19"/>
          <w:szCs w:val="19"/>
          <w:lang w:eastAsia="fr-FR"/>
        </w:rPr>
        <w:br/>
        <w:t>3° A la fin de la première phrase du IV, la référence : « et III » est remplacée par les références : « , III et IV ».</w:t>
      </w:r>
      <w:r w:rsidRPr="00874A27">
        <w:rPr>
          <w:rFonts w:ascii="Arial" w:eastAsia="Times New Roman" w:hAnsi="Arial" w:cs="Arial"/>
          <w:color w:val="000000"/>
          <w:sz w:val="19"/>
          <w:szCs w:val="19"/>
          <w:lang w:eastAsia="fr-FR"/>
        </w:rPr>
        <w:br/>
        <w:t>IV. ― L'article L. 123-3 du code de la construction et de l'habitation est ainsi modifié :</w:t>
      </w:r>
      <w:r w:rsidRPr="00874A27">
        <w:rPr>
          <w:rFonts w:ascii="Arial" w:eastAsia="Times New Roman" w:hAnsi="Arial" w:cs="Arial"/>
          <w:color w:val="000000"/>
          <w:sz w:val="19"/>
          <w:szCs w:val="19"/>
          <w:lang w:eastAsia="fr-FR"/>
        </w:rPr>
        <w:br/>
        <w:t>1° Les II, III, IV, V, VI et VII deviennent, respectivement, des IV, V, VI, VII, VIII et IX ;</w:t>
      </w:r>
      <w:r w:rsidRPr="00874A27">
        <w:rPr>
          <w:rFonts w:ascii="Arial" w:eastAsia="Times New Roman" w:hAnsi="Arial" w:cs="Arial"/>
          <w:color w:val="000000"/>
          <w:sz w:val="19"/>
          <w:szCs w:val="19"/>
          <w:lang w:eastAsia="fr-FR"/>
        </w:rPr>
        <w:br/>
        <w:t>2° Après le I, sont rétablis des II et III ainsi rédigés :</w:t>
      </w:r>
      <w:r w:rsidRPr="00874A27">
        <w:rPr>
          <w:rFonts w:ascii="Arial" w:eastAsia="Times New Roman" w:hAnsi="Arial" w:cs="Arial"/>
          <w:color w:val="000000"/>
          <w:sz w:val="19"/>
          <w:szCs w:val="19"/>
          <w:lang w:eastAsia="fr-FR"/>
        </w:rPr>
        <w:br/>
        <w:t>« II. ― L'arrêté prévu au I précise que la non-exécution des travaux qu'il prescrit dans le délai fixé expose l'exploitant et le propriétaire au paiement d'une astreinte par jour de retard. Le propriétaire de l'immeuble et l'exploitant du fonds de commerce sont solidairement tenus au paiement de l'astreinte à compter de la notification par le maire à chacun d'entre eux de l'arrêté appliquant l'astreinte.</w:t>
      </w:r>
      <w:r w:rsidRPr="00874A27">
        <w:rPr>
          <w:rFonts w:ascii="Arial" w:eastAsia="Times New Roman" w:hAnsi="Arial" w:cs="Arial"/>
          <w:color w:val="000000"/>
          <w:sz w:val="19"/>
          <w:szCs w:val="19"/>
          <w:lang w:eastAsia="fr-FR"/>
        </w:rPr>
        <w:br/>
        <w:t>« Lorsque l'arrêté prévu au I concerne un immeuble en indivision, l'astreinte est appliquée dans les conditions fixées à l'article L. 541-2-1.</w:t>
      </w:r>
      <w:r w:rsidRPr="00874A27">
        <w:rPr>
          <w:rFonts w:ascii="Arial" w:eastAsia="Times New Roman" w:hAnsi="Arial" w:cs="Arial"/>
          <w:color w:val="000000"/>
          <w:sz w:val="19"/>
          <w:szCs w:val="19"/>
          <w:lang w:eastAsia="fr-FR"/>
        </w:rPr>
        <w:br/>
        <w:t>« III. ― Si les travaux prescrits par l'arrêté prévu au I n'ont pas été exécutés dans le délai fixé, le maire peut également, sans attendre l'expiration du délai fixé par la mise en demeure, appliquer, par arrêté, une astreinte d'un montant maximal de 1 000 € par jour de retard à l'encontre du propriétaire et de l'exploitant défaillants. Son montant peut être progressif dans le temps et modulé dans des conditions fixées par voie réglementaire, tenant compte de l'ampleur des mesures et travaux prescrits et des conséquences de la non-exécution.</w:t>
      </w:r>
      <w:r w:rsidRPr="00874A27">
        <w:rPr>
          <w:rFonts w:ascii="Arial" w:eastAsia="Times New Roman" w:hAnsi="Arial" w:cs="Arial"/>
          <w:color w:val="000000"/>
          <w:sz w:val="19"/>
          <w:szCs w:val="19"/>
          <w:lang w:eastAsia="fr-FR"/>
        </w:rPr>
        <w:br/>
        <w:t>« L'astreinte court à compter de la notification de l'arrêté la prononçant et jusqu'à la complète exécution des travaux prescrits. Le recouvrement des sommes est engagé par trimestre échu.</w:t>
      </w:r>
      <w:r w:rsidRPr="00874A27">
        <w:rPr>
          <w:rFonts w:ascii="Arial" w:eastAsia="Times New Roman" w:hAnsi="Arial" w:cs="Arial"/>
          <w:color w:val="000000"/>
          <w:sz w:val="19"/>
          <w:szCs w:val="19"/>
          <w:lang w:eastAsia="fr-FR"/>
        </w:rPr>
        <w:br/>
        <w:t>« Le maire peut, lors de la liquidation du dernier terme échu, consentir une remise de son produit si les travaux prescrits par l'arrêté prévu au I ont été exécutés et si le redevable établit que le non-respect du délai imposé pour l'exécution totale de ses obligations est exclusivement dû à des circonstances indépendantes de sa volonté. Le total des sommes demandées ne peut être supérieur au montant de l'amende prévue au VI.</w:t>
      </w:r>
      <w:r w:rsidRPr="00874A27">
        <w:rPr>
          <w:rFonts w:ascii="Arial" w:eastAsia="Times New Roman" w:hAnsi="Arial" w:cs="Arial"/>
          <w:color w:val="000000"/>
          <w:sz w:val="19"/>
          <w:szCs w:val="19"/>
          <w:lang w:eastAsia="fr-FR"/>
        </w:rPr>
        <w:br/>
        <w:t>« L'astreinte est recouvrée, dans les conditions prévues par les dispositions relatives aux produits communaux, au bénéfice de la commune sur le territoire de laquelle est implanté l'établissement ayant fait l'objet de l'arrêté. Dans le cas où l'arrêté a été pris par le président d'un établissement public de coopération intercommunale en application de l'</w:t>
      </w:r>
      <w:hyperlink r:id="rId351" w:history="1">
        <w:r w:rsidRPr="00874A27">
          <w:rPr>
            <w:rFonts w:ascii="Arial" w:eastAsia="Times New Roman" w:hAnsi="Arial" w:cs="Arial"/>
            <w:color w:val="336699"/>
            <w:sz w:val="19"/>
            <w:szCs w:val="19"/>
            <w:u w:val="single"/>
            <w:lang w:eastAsia="fr-FR"/>
          </w:rPr>
          <w:t>article L. 5211-9-2 du code général des collectivités territoriales</w:t>
        </w:r>
      </w:hyperlink>
      <w:r w:rsidRPr="00874A27">
        <w:rPr>
          <w:rFonts w:ascii="Arial" w:eastAsia="Times New Roman" w:hAnsi="Arial" w:cs="Arial"/>
          <w:color w:val="000000"/>
          <w:sz w:val="19"/>
          <w:szCs w:val="19"/>
          <w:lang w:eastAsia="fr-FR"/>
        </w:rPr>
        <w:t>, l'astreinte est recouvrée au bénéfice de l'établissement public concerné.</w:t>
      </w:r>
      <w:r w:rsidRPr="00874A27">
        <w:rPr>
          <w:rFonts w:ascii="Arial" w:eastAsia="Times New Roman" w:hAnsi="Arial" w:cs="Arial"/>
          <w:color w:val="000000"/>
          <w:sz w:val="19"/>
          <w:szCs w:val="19"/>
          <w:lang w:eastAsia="fr-FR"/>
        </w:rPr>
        <w:br/>
        <w:t>« A défaut pour le maire ou, le cas échéant, le président de l'établissement public de coopération intercommunale de liquider le produit de l'astreinte, de dresser l'état nécessaire à son recouvrement et de le faire parvenir au représentant de l'Etat dans le département le mois qui suit la demande émanant de celui-ci, la créance est liquidée et recouvrée par l'Etat. Après prélèvement de 4 % pour frais de recouvrement sur les sommes perçues, 43 % des sommes sont versées au budget de l'Agence nationale de l'habitat.</w:t>
      </w:r>
      <w:r w:rsidRPr="00874A27">
        <w:rPr>
          <w:rFonts w:ascii="Arial" w:eastAsia="Times New Roman" w:hAnsi="Arial" w:cs="Arial"/>
          <w:color w:val="000000"/>
          <w:sz w:val="19"/>
          <w:szCs w:val="19"/>
          <w:lang w:eastAsia="fr-FR"/>
        </w:rPr>
        <w:br/>
        <w:t>« L'application de l'astreinte et sa liquidation ne font pas obstacle à l'exécution d'office par l'autorité administrative des mesures et travaux prescrits par l'arrêté prévu au I. Dans ce cas, le montant de l'astreinte, qui s'ajoute à celui du coût des mesures et des travaux exécutés d'office, est garanti par les dispositions prévues au </w:t>
      </w:r>
      <w:hyperlink r:id="rId352" w:history="1">
        <w:r w:rsidRPr="00874A27">
          <w:rPr>
            <w:rFonts w:ascii="Arial" w:eastAsia="Times New Roman" w:hAnsi="Arial" w:cs="Arial"/>
            <w:color w:val="336699"/>
            <w:sz w:val="19"/>
            <w:szCs w:val="19"/>
            <w:u w:val="single"/>
            <w:lang w:eastAsia="fr-FR"/>
          </w:rPr>
          <w:t>8° de l'article 2374 du code civil</w:t>
        </w:r>
      </w:hyperlink>
      <w:r w:rsidRPr="00874A27">
        <w:rPr>
          <w:rFonts w:ascii="Arial" w:eastAsia="Times New Roman" w:hAnsi="Arial" w:cs="Arial"/>
          <w:color w:val="000000"/>
          <w:sz w:val="19"/>
          <w:szCs w:val="19"/>
          <w:lang w:eastAsia="fr-FR"/>
        </w:rPr>
        <w:t>. Les articles L. 541-1 et suivants du présent code sont applicables. »</w:t>
      </w:r>
      <w:r w:rsidRPr="00874A27">
        <w:rPr>
          <w:rFonts w:ascii="Arial" w:eastAsia="Times New Roman" w:hAnsi="Arial" w:cs="Arial"/>
          <w:color w:val="000000"/>
          <w:sz w:val="19"/>
          <w:szCs w:val="19"/>
          <w:lang w:eastAsia="fr-FR"/>
        </w:rPr>
        <w:br/>
        <w:t>V. ― L'article L. 129-2 du même code est complété par neuf alinéas ainsi rédigés :</w:t>
      </w:r>
      <w:r w:rsidRPr="00874A27">
        <w:rPr>
          <w:rFonts w:ascii="Arial" w:eastAsia="Times New Roman" w:hAnsi="Arial" w:cs="Arial"/>
          <w:color w:val="000000"/>
          <w:sz w:val="19"/>
          <w:szCs w:val="19"/>
          <w:lang w:eastAsia="fr-FR"/>
        </w:rPr>
        <w:br/>
        <w:t>« L'arrêté mentionné à l'article L. 129-1 précise que la non-exécution des mesures et travaux dans le délai fixé expose le propriétaire au paiement d'une astreinte par jour de retard dans les conditions prévues au présent article.</w:t>
      </w:r>
      <w:r w:rsidRPr="00874A27">
        <w:rPr>
          <w:rFonts w:ascii="Arial" w:eastAsia="Times New Roman" w:hAnsi="Arial" w:cs="Arial"/>
          <w:color w:val="000000"/>
          <w:sz w:val="19"/>
          <w:szCs w:val="19"/>
          <w:lang w:eastAsia="fr-FR"/>
        </w:rPr>
        <w:br/>
        <w:t>« Si les mesures prescrites n'ont pas été exécutées dans le délai imparti, le maire peut également, sans attendre l'expiration du délai fixé par la mise en demeure, appliquer par arrêté une astreinte d'un montant maximal de 1 000 € par jour de retard à l'encontre du propriétaire défaillant. Son montant peut être progressif dans le temps et modulé dans des conditions fixées par voie réglementaire, tenant compte de l'ampleur des mesures et travaux prescrits et des conséquences de la non-exécution.</w:t>
      </w:r>
      <w:r w:rsidRPr="00874A27">
        <w:rPr>
          <w:rFonts w:ascii="Arial" w:eastAsia="Times New Roman" w:hAnsi="Arial" w:cs="Arial"/>
          <w:color w:val="000000"/>
          <w:sz w:val="19"/>
          <w:szCs w:val="19"/>
          <w:lang w:eastAsia="fr-FR"/>
        </w:rPr>
        <w:br/>
        <w:t>« L'astreinte court à compter de la notification de l'arrêté la prononçant et jusqu'à la complète exécution des mesures prescrites. Le recouvrement des sommes est engagé par trimestre échu.</w:t>
      </w:r>
      <w:r w:rsidRPr="00874A27">
        <w:rPr>
          <w:rFonts w:ascii="Arial" w:eastAsia="Times New Roman" w:hAnsi="Arial" w:cs="Arial"/>
          <w:color w:val="000000"/>
          <w:sz w:val="19"/>
          <w:szCs w:val="19"/>
          <w:lang w:eastAsia="fr-FR"/>
        </w:rPr>
        <w:br/>
        <w:t>« Le maire peut, lors de la liquidation du dernier terme échu, consentir une remise de son produit si les mesures ou travaux prescrits par l'arrêté ont été exécutés et si le redevable établit que le non-respect du délai imposé pour l'exécution totale de ses obligations est exclusivement dû à des circonstances indépendantes de sa volonté.</w:t>
      </w:r>
      <w:r w:rsidRPr="00874A27">
        <w:rPr>
          <w:rFonts w:ascii="Arial" w:eastAsia="Times New Roman" w:hAnsi="Arial" w:cs="Arial"/>
          <w:color w:val="000000"/>
          <w:sz w:val="19"/>
          <w:szCs w:val="19"/>
          <w:lang w:eastAsia="fr-FR"/>
        </w:rPr>
        <w:br/>
        <w:t xml:space="preserve">« L'astreinte est recouvrée dans les conditions prévues par les dispositions relatives aux produits communaux au bénéfice de la commune sur le territoire de laquelle est implanté l'immeuble ayant fait l'objet de l'arrêté. Dans le cas où l'arrêté a été pris par le président d'un établissement public de coopération intercommunale en application de l'article L. 5211-9-2 du code général des collectivités </w:t>
      </w:r>
      <w:r w:rsidRPr="00874A27">
        <w:rPr>
          <w:rFonts w:ascii="Arial" w:eastAsia="Times New Roman" w:hAnsi="Arial" w:cs="Arial"/>
          <w:color w:val="000000"/>
          <w:sz w:val="19"/>
          <w:szCs w:val="19"/>
          <w:lang w:eastAsia="fr-FR"/>
        </w:rPr>
        <w:lastRenderedPageBreak/>
        <w:t>territoriales, l'astreinte est recouvrée au bénéfice de l'établissement public concerné.</w:t>
      </w:r>
      <w:r w:rsidRPr="00874A27">
        <w:rPr>
          <w:rFonts w:ascii="Arial" w:eastAsia="Times New Roman" w:hAnsi="Arial" w:cs="Arial"/>
          <w:color w:val="000000"/>
          <w:sz w:val="19"/>
          <w:szCs w:val="19"/>
          <w:lang w:eastAsia="fr-FR"/>
        </w:rPr>
        <w:br/>
        <w:t>« A défaut pour le maire ou, le cas échéant, le président de l'établissement public de coopération intercommunale de liquider le produit de l'astreinte, de dresser l'état nécessaire à son recouvrement et de le faire parvenir au représentant de l'Etat dans le département dans le mois qui suit la demande émanant de celui-ci, la créance est liquidée et recouvrée par l'Etat. Après prélèvement de 4 % pour frais de recouvrement sur les sommes perçues, 43 % des sommes sont versées au budget de l'Agence nationale de l'habitat.</w:t>
      </w:r>
      <w:r w:rsidRPr="00874A27">
        <w:rPr>
          <w:rFonts w:ascii="Arial" w:eastAsia="Times New Roman" w:hAnsi="Arial" w:cs="Arial"/>
          <w:color w:val="000000"/>
          <w:sz w:val="19"/>
          <w:szCs w:val="19"/>
          <w:lang w:eastAsia="fr-FR"/>
        </w:rPr>
        <w:br/>
        <w:t>« L'application de l'astreinte et sa liquidation ne font pas obstacle à l'exécution d'office par l'autorité administrative des mesures et travaux prescrits par l'arrêté prévu à l'article L. 129-1 du présent code. Dans ce cas, le montant de l'astreinte, qui s'ajoute à celui du coût des mesures et des travaux exécutés d'office, est garanti par les dispositions prévues au 8° de l'article 2374 du code civil. Les articles L. 541-1 et suivants du présent code sont applicables.</w:t>
      </w:r>
      <w:r w:rsidRPr="00874A27">
        <w:rPr>
          <w:rFonts w:ascii="Arial" w:eastAsia="Times New Roman" w:hAnsi="Arial" w:cs="Arial"/>
          <w:color w:val="000000"/>
          <w:sz w:val="19"/>
          <w:szCs w:val="19"/>
          <w:lang w:eastAsia="fr-FR"/>
        </w:rPr>
        <w:br/>
        <w:t>« Lorsque l'arrêté concerne tout ou partie des parties communes d'un immeuble soumis à la loi n° 65-557 du 10 juillet 1965 fixant le statut de la copropriété des immeubles bâtis, l'astreinte est appliquée dans les conditions prévues à l'article L. 543-1.</w:t>
      </w:r>
      <w:r w:rsidRPr="00874A27">
        <w:rPr>
          <w:rFonts w:ascii="Arial" w:eastAsia="Times New Roman" w:hAnsi="Arial" w:cs="Arial"/>
          <w:color w:val="000000"/>
          <w:sz w:val="19"/>
          <w:szCs w:val="19"/>
          <w:lang w:eastAsia="fr-FR"/>
        </w:rPr>
        <w:br/>
        <w:t>« Lorsque l'arrêté concerne un immeuble en indivision, l'astreinte est appliquée dans les conditions fixées à l'article L. 541-2-1. »</w:t>
      </w:r>
      <w:r w:rsidRPr="00874A27">
        <w:rPr>
          <w:rFonts w:ascii="Arial" w:eastAsia="Times New Roman" w:hAnsi="Arial" w:cs="Arial"/>
          <w:color w:val="000000"/>
          <w:sz w:val="19"/>
          <w:szCs w:val="19"/>
          <w:lang w:eastAsia="fr-FR"/>
        </w:rPr>
        <w:br/>
        <w:t>VI. ― L'article L. 511-2 du même code est ainsi modifié :</w:t>
      </w:r>
      <w:r w:rsidRPr="00874A27">
        <w:rPr>
          <w:rFonts w:ascii="Arial" w:eastAsia="Times New Roman" w:hAnsi="Arial" w:cs="Arial"/>
          <w:color w:val="000000"/>
          <w:sz w:val="19"/>
          <w:szCs w:val="19"/>
          <w:lang w:eastAsia="fr-FR"/>
        </w:rPr>
        <w:br/>
        <w:t>1° Au premier alinéa du I, après le mot : « maire, », sont insérés les mots : « par un arrêté de péril pris » ;</w:t>
      </w:r>
      <w:r w:rsidRPr="00874A27">
        <w:rPr>
          <w:rFonts w:ascii="Arial" w:eastAsia="Times New Roman" w:hAnsi="Arial" w:cs="Arial"/>
          <w:color w:val="000000"/>
          <w:sz w:val="19"/>
          <w:szCs w:val="19"/>
          <w:lang w:eastAsia="fr-FR"/>
        </w:rPr>
        <w:br/>
        <w:t>2° Après le premier alinéa du même I, il est inséré un alinéa ainsi rédigé :</w:t>
      </w:r>
      <w:r w:rsidRPr="00874A27">
        <w:rPr>
          <w:rFonts w:ascii="Arial" w:eastAsia="Times New Roman" w:hAnsi="Arial" w:cs="Arial"/>
          <w:color w:val="000000"/>
          <w:sz w:val="19"/>
          <w:szCs w:val="19"/>
          <w:lang w:eastAsia="fr-FR"/>
        </w:rPr>
        <w:br/>
        <w:t>« Lorsque le bâtiment menaçant ruine est à usage principal d'habitation, l'arrêté de péril précise également que la non-exécution des réparations, travaux ou mesures dans le délai qu'il détermine expose le propriétaire au paiement d'une astreinte par jour de retard. » ;</w:t>
      </w:r>
      <w:r w:rsidRPr="00874A27">
        <w:rPr>
          <w:rFonts w:ascii="Arial" w:eastAsia="Times New Roman" w:hAnsi="Arial" w:cs="Arial"/>
          <w:color w:val="000000"/>
          <w:sz w:val="19"/>
          <w:szCs w:val="19"/>
          <w:lang w:eastAsia="fr-FR"/>
        </w:rPr>
        <w:br/>
        <w:t>3° Après le premier alinéa du IV, sont insérés neuf alinéas ainsi rédigés :</w:t>
      </w:r>
      <w:r w:rsidRPr="00874A27">
        <w:rPr>
          <w:rFonts w:ascii="Arial" w:eastAsia="Times New Roman" w:hAnsi="Arial" w:cs="Arial"/>
          <w:color w:val="000000"/>
          <w:sz w:val="19"/>
          <w:szCs w:val="19"/>
          <w:lang w:eastAsia="fr-FR"/>
        </w:rPr>
        <w:br/>
        <w:t>« Lorsque l'arrêté de péril concerne tout ou partie des parties communes d'un immeuble soumis à la loi n° 65-557 du 10 juillet 1965 fixant le statut de la copropriété des immeubles bâtis, l'astreinte est appliquée dans les conditions prévues à l'article L. 543-1.</w:t>
      </w:r>
      <w:r w:rsidRPr="00874A27">
        <w:rPr>
          <w:rFonts w:ascii="Arial" w:eastAsia="Times New Roman" w:hAnsi="Arial" w:cs="Arial"/>
          <w:color w:val="000000"/>
          <w:sz w:val="19"/>
          <w:szCs w:val="19"/>
          <w:lang w:eastAsia="fr-FR"/>
        </w:rPr>
        <w:br/>
        <w:t>« Lorsque l'arrêté concerne un immeuble en indivision, l'astreinte est appliquée dans les conditions fixées à l'article L. 541-2-1.</w:t>
      </w:r>
      <w:r w:rsidRPr="00874A27">
        <w:rPr>
          <w:rFonts w:ascii="Arial" w:eastAsia="Times New Roman" w:hAnsi="Arial" w:cs="Arial"/>
          <w:color w:val="000000"/>
          <w:sz w:val="19"/>
          <w:szCs w:val="19"/>
          <w:lang w:eastAsia="fr-FR"/>
        </w:rPr>
        <w:br/>
        <w:t>« Lorsque le bâtiment menaçant ruine est à usage principal d'habitation, le maire peut, sans attendre l'expiration du délai fixé par la mise en demeure, appliquer une astreinte d'un montant maximal de 1 000 € par jour de retard à l'encontre du propriétaire défaillant. Son montant peut être progressif dans le temps et modulé dans des conditions fixées par voie réglementaire, tenant compte de l'ampleur des mesures et travaux prescrits et des conséquences de la non-exécution.</w:t>
      </w:r>
      <w:r w:rsidRPr="00874A27">
        <w:rPr>
          <w:rFonts w:ascii="Arial" w:eastAsia="Times New Roman" w:hAnsi="Arial" w:cs="Arial"/>
          <w:color w:val="000000"/>
          <w:sz w:val="19"/>
          <w:szCs w:val="19"/>
          <w:lang w:eastAsia="fr-FR"/>
        </w:rPr>
        <w:br/>
        <w:t>« L'application de l'astreinte et sa liquidation ne font pas obstacle à l'exécution d'office par le maire des mesures et travaux prescrits par l'arrêté prévu au I pour mettre fin à l'exposition au risque d'incendie ou de panique des occupants ou des voisins. Dans ce cas, le montant de l'astreinte s'ajoute à celui du coût des mesures et travaux exécutés d'office. Il est recouvré comme en matière de contributions directes et garanti par les dispositions prévues au 8° de l'article 2374 du code civil et aux articles L. 541-1 et suivants du présent code.</w:t>
      </w:r>
      <w:r w:rsidRPr="00874A27">
        <w:rPr>
          <w:rFonts w:ascii="Arial" w:eastAsia="Times New Roman" w:hAnsi="Arial" w:cs="Arial"/>
          <w:color w:val="000000"/>
          <w:sz w:val="19"/>
          <w:szCs w:val="19"/>
          <w:lang w:eastAsia="fr-FR"/>
        </w:rPr>
        <w:br/>
        <w:t>« Si les mesures prescrites concernent un établissement recevant du public aux fins d'hébergement, l'arrêté appliquant l'astreinte est notifié au propriétaire de l'immeuble et à l'exploitant, lesquels sont alors solidairement tenus au paiement de l'astreinte.</w:t>
      </w:r>
      <w:r w:rsidRPr="00874A27">
        <w:rPr>
          <w:rFonts w:ascii="Arial" w:eastAsia="Times New Roman" w:hAnsi="Arial" w:cs="Arial"/>
          <w:color w:val="000000"/>
          <w:sz w:val="19"/>
          <w:szCs w:val="19"/>
          <w:lang w:eastAsia="fr-FR"/>
        </w:rPr>
        <w:br/>
        <w:t>« L'astreinte court à compter de la notification de l'arrêté la prononçant et jusqu'à la complète exécution des travaux prescrits. Le recouvrement des sommes est engagé par trimestre échu.</w:t>
      </w:r>
      <w:r w:rsidRPr="00874A27">
        <w:rPr>
          <w:rFonts w:ascii="Arial" w:eastAsia="Times New Roman" w:hAnsi="Arial" w:cs="Arial"/>
          <w:color w:val="000000"/>
          <w:sz w:val="19"/>
          <w:szCs w:val="19"/>
          <w:lang w:eastAsia="fr-FR"/>
        </w:rPr>
        <w:br/>
        <w:t>« Le maire peut, lors de la liquidation du dernier terme échu, consentir à une remise de son produit lorsque les réparations, travaux ou mesures prescrits par l'arrêté de péril ont été exécutés et si le redevable établit que le non-respect du délai imposé pour l'exécution totale de ses obligations est exclusivement dû à des circonstances indépendantes de sa volonté. Le montant total des sommes demandées ne peut être supérieur au montant de l'amende prévue au I de l'article L. 511-6.</w:t>
      </w:r>
      <w:r w:rsidRPr="00874A27">
        <w:rPr>
          <w:rFonts w:ascii="Arial" w:eastAsia="Times New Roman" w:hAnsi="Arial" w:cs="Arial"/>
          <w:color w:val="000000"/>
          <w:sz w:val="19"/>
          <w:szCs w:val="19"/>
          <w:lang w:eastAsia="fr-FR"/>
        </w:rPr>
        <w:br/>
        <w:t>« L'astreinte est recouvrée, dans les conditions prévues par les dispositions relatives aux produits communaux, au bénéfice de la commune sur le territoire de laquelle est implanté l'immeuble ayant fait l'objet de l'arrêté. Dans le cas où l'arrêté a été pris par le président d'un établissement public de coopération intercommunale en application de l'article L. 5211-9-2 du code général des collectivités territoriales, l'astreinte est recouvrée au bénéfice de l'établissement public concerné.</w:t>
      </w:r>
      <w:r w:rsidRPr="00874A27">
        <w:rPr>
          <w:rFonts w:ascii="Arial" w:eastAsia="Times New Roman" w:hAnsi="Arial" w:cs="Arial"/>
          <w:color w:val="000000"/>
          <w:sz w:val="19"/>
          <w:szCs w:val="19"/>
          <w:lang w:eastAsia="fr-FR"/>
        </w:rPr>
        <w:br/>
        <w:t>« A défaut pour le maire ou, le cas échéant, le président de l'établissement public de coopération intercommunale de liquider le produit de l'astreinte, de dresser l'état nécessaire à son recouvrement et de la faire parvenir au représentant de l'Etat dans le département dans le mois qui suit la demande émanant de celui-ci, la créance est liquidée et recouvrée par l'Etat. Après prélèvement de 4 % pour frais de recouvrement sur les sommes perçues, 43 % des sommes sont versées au budget de l'Agence nationale de l'habitat. » ;</w:t>
      </w:r>
      <w:r w:rsidRPr="00874A27">
        <w:rPr>
          <w:rFonts w:ascii="Arial" w:eastAsia="Times New Roman" w:hAnsi="Arial" w:cs="Arial"/>
          <w:color w:val="000000"/>
          <w:sz w:val="19"/>
          <w:szCs w:val="19"/>
          <w:lang w:eastAsia="fr-FR"/>
        </w:rPr>
        <w:br/>
        <w:t>4° Les quatre derniers alinéas du IV deviennent un V ;</w:t>
      </w:r>
      <w:r w:rsidRPr="00874A27">
        <w:rPr>
          <w:rFonts w:ascii="Arial" w:eastAsia="Times New Roman" w:hAnsi="Arial" w:cs="Arial"/>
          <w:color w:val="000000"/>
          <w:sz w:val="19"/>
          <w:szCs w:val="19"/>
          <w:lang w:eastAsia="fr-FR"/>
        </w:rPr>
        <w:br/>
        <w:t>5° Il est ajouté un VI ainsi rédigé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VI. ― Les pouvoirs dévolus au maire par le présent article sont exercés à Paris par le préfet de police. »</w:t>
      </w:r>
      <w:r w:rsidRPr="00874A27">
        <w:rPr>
          <w:rFonts w:ascii="Arial" w:eastAsia="Times New Roman" w:hAnsi="Arial" w:cs="Arial"/>
          <w:color w:val="000000"/>
          <w:sz w:val="19"/>
          <w:szCs w:val="19"/>
          <w:lang w:eastAsia="fr-FR"/>
        </w:rPr>
        <w:br/>
        <w:t>VII. ― Le III de l'article L. 2573-20 du code général des collectivités territoriales est ainsi modifié :</w:t>
      </w:r>
      <w:r w:rsidRPr="00874A27">
        <w:rPr>
          <w:rFonts w:ascii="Arial" w:eastAsia="Times New Roman" w:hAnsi="Arial" w:cs="Arial"/>
          <w:color w:val="000000"/>
          <w:sz w:val="19"/>
          <w:szCs w:val="19"/>
          <w:lang w:eastAsia="fr-FR"/>
        </w:rPr>
        <w:br/>
        <w:t>1° Au 1°, le mot : « deuxième » est remplacé par le mot : « troisième » ;</w:t>
      </w:r>
      <w:r w:rsidRPr="00874A27">
        <w:rPr>
          <w:rFonts w:ascii="Arial" w:eastAsia="Times New Roman" w:hAnsi="Arial" w:cs="Arial"/>
          <w:color w:val="000000"/>
          <w:sz w:val="19"/>
          <w:szCs w:val="19"/>
          <w:lang w:eastAsia="fr-FR"/>
        </w:rPr>
        <w:br/>
        <w:t>2° Au 2°, le mot : « troisième » est remplacé par le mot : « quatrième » ;</w:t>
      </w:r>
      <w:r w:rsidRPr="00874A27">
        <w:rPr>
          <w:rFonts w:ascii="Arial" w:eastAsia="Times New Roman" w:hAnsi="Arial" w:cs="Arial"/>
          <w:color w:val="000000"/>
          <w:sz w:val="19"/>
          <w:szCs w:val="19"/>
          <w:lang w:eastAsia="fr-FR"/>
        </w:rPr>
        <w:br/>
        <w:t>3° Au 4°, le mot : « cinquième » est remplacé par le mot : « quatrième ».</w:t>
      </w:r>
      <w:r w:rsidRPr="00874A27">
        <w:rPr>
          <w:rFonts w:ascii="Arial" w:eastAsia="Times New Roman" w:hAnsi="Arial" w:cs="Arial"/>
          <w:color w:val="000000"/>
          <w:sz w:val="19"/>
          <w:szCs w:val="19"/>
          <w:lang w:eastAsia="fr-FR"/>
        </w:rPr>
        <w:br/>
        <w:t>VIII. ― La loi n° 65-557 du 10 juillet 1965 précitée est ainsi modifiée :</w:t>
      </w:r>
      <w:r w:rsidRPr="00874A27">
        <w:rPr>
          <w:rFonts w:ascii="Arial" w:eastAsia="Times New Roman" w:hAnsi="Arial" w:cs="Arial"/>
          <w:color w:val="000000"/>
          <w:sz w:val="19"/>
          <w:szCs w:val="19"/>
          <w:lang w:eastAsia="fr-FR"/>
        </w:rPr>
        <w:br/>
        <w:t>1° L'article 10-1 est complété par un d ainsi rédigé :</w:t>
      </w:r>
      <w:r w:rsidRPr="00874A27">
        <w:rPr>
          <w:rFonts w:ascii="Arial" w:eastAsia="Times New Roman" w:hAnsi="Arial" w:cs="Arial"/>
          <w:color w:val="000000"/>
          <w:sz w:val="19"/>
          <w:szCs w:val="19"/>
          <w:lang w:eastAsia="fr-FR"/>
        </w:rPr>
        <w:br/>
        <w:t>« d) Les astreintes prévues à l'</w:t>
      </w:r>
      <w:hyperlink r:id="rId353" w:history="1">
        <w:r w:rsidRPr="00874A27">
          <w:rPr>
            <w:rFonts w:ascii="Arial" w:eastAsia="Times New Roman" w:hAnsi="Arial" w:cs="Arial"/>
            <w:color w:val="336699"/>
            <w:sz w:val="19"/>
            <w:szCs w:val="19"/>
            <w:u w:val="single"/>
            <w:lang w:eastAsia="fr-FR"/>
          </w:rPr>
          <w:t>article L. 1331-29 du code de la santé publique</w:t>
        </w:r>
      </w:hyperlink>
      <w:r w:rsidRPr="00874A27">
        <w:rPr>
          <w:rFonts w:ascii="Arial" w:eastAsia="Times New Roman" w:hAnsi="Arial" w:cs="Arial"/>
          <w:color w:val="000000"/>
          <w:sz w:val="19"/>
          <w:szCs w:val="19"/>
          <w:lang w:eastAsia="fr-FR"/>
        </w:rPr>
        <w:t> et aux articles </w:t>
      </w:r>
      <w:hyperlink r:id="rId354" w:history="1">
        <w:r w:rsidRPr="00874A27">
          <w:rPr>
            <w:rFonts w:ascii="Arial" w:eastAsia="Times New Roman" w:hAnsi="Arial" w:cs="Arial"/>
            <w:color w:val="336699"/>
            <w:sz w:val="19"/>
            <w:szCs w:val="19"/>
            <w:u w:val="single"/>
            <w:lang w:eastAsia="fr-FR"/>
          </w:rPr>
          <w:t>L. 129-2</w:t>
        </w:r>
      </w:hyperlink>
      <w:r w:rsidRPr="00874A27">
        <w:rPr>
          <w:rFonts w:ascii="Arial" w:eastAsia="Times New Roman" w:hAnsi="Arial" w:cs="Arial"/>
          <w:color w:val="000000"/>
          <w:sz w:val="19"/>
          <w:szCs w:val="19"/>
          <w:lang w:eastAsia="fr-FR"/>
        </w:rPr>
        <w:t> et </w:t>
      </w:r>
      <w:hyperlink r:id="rId355" w:history="1">
        <w:r w:rsidRPr="00874A27">
          <w:rPr>
            <w:rFonts w:ascii="Arial" w:eastAsia="Times New Roman" w:hAnsi="Arial" w:cs="Arial"/>
            <w:color w:val="336699"/>
            <w:sz w:val="19"/>
            <w:szCs w:val="19"/>
            <w:u w:val="single"/>
            <w:lang w:eastAsia="fr-FR"/>
          </w:rPr>
          <w:t>L. 511-2</w:t>
        </w:r>
      </w:hyperlink>
      <w:r w:rsidRPr="00874A27">
        <w:rPr>
          <w:rFonts w:ascii="Arial" w:eastAsia="Times New Roman" w:hAnsi="Arial" w:cs="Arial"/>
          <w:color w:val="000000"/>
          <w:sz w:val="19"/>
          <w:szCs w:val="19"/>
          <w:lang w:eastAsia="fr-FR"/>
        </w:rPr>
        <w:t> du code de la construction et de l'habitation lorsque les mesures ou travaux prescrits par un arrêté pris en application du </w:t>
      </w:r>
      <w:hyperlink r:id="rId356" w:history="1">
        <w:r w:rsidRPr="00874A27">
          <w:rPr>
            <w:rFonts w:ascii="Arial" w:eastAsia="Times New Roman" w:hAnsi="Arial" w:cs="Arial"/>
            <w:color w:val="336699"/>
            <w:sz w:val="19"/>
            <w:szCs w:val="19"/>
            <w:u w:val="single"/>
            <w:lang w:eastAsia="fr-FR"/>
          </w:rPr>
          <w:t>II de l'article L. 1331-28 du code de la santé publique</w:t>
        </w:r>
      </w:hyperlink>
      <w:r w:rsidRPr="00874A27">
        <w:rPr>
          <w:rFonts w:ascii="Arial" w:eastAsia="Times New Roman" w:hAnsi="Arial" w:cs="Arial"/>
          <w:color w:val="000000"/>
          <w:sz w:val="19"/>
          <w:szCs w:val="19"/>
          <w:lang w:eastAsia="fr-FR"/>
        </w:rPr>
        <w:t> ou des articles </w:t>
      </w:r>
      <w:hyperlink r:id="rId357" w:history="1">
        <w:r w:rsidRPr="00874A27">
          <w:rPr>
            <w:rFonts w:ascii="Arial" w:eastAsia="Times New Roman" w:hAnsi="Arial" w:cs="Arial"/>
            <w:color w:val="336699"/>
            <w:sz w:val="19"/>
            <w:szCs w:val="19"/>
            <w:u w:val="single"/>
            <w:lang w:eastAsia="fr-FR"/>
          </w:rPr>
          <w:t>L. 129-1</w:t>
        </w:r>
      </w:hyperlink>
      <w:r w:rsidRPr="00874A27">
        <w:rPr>
          <w:rFonts w:ascii="Arial" w:eastAsia="Times New Roman" w:hAnsi="Arial" w:cs="Arial"/>
          <w:color w:val="000000"/>
          <w:sz w:val="19"/>
          <w:szCs w:val="19"/>
          <w:lang w:eastAsia="fr-FR"/>
        </w:rPr>
        <w:t> ou </w:t>
      </w:r>
      <w:hyperlink r:id="rId358" w:history="1">
        <w:r w:rsidRPr="00874A27">
          <w:rPr>
            <w:rFonts w:ascii="Arial" w:eastAsia="Times New Roman" w:hAnsi="Arial" w:cs="Arial"/>
            <w:color w:val="336699"/>
            <w:sz w:val="19"/>
            <w:szCs w:val="19"/>
            <w:u w:val="single"/>
            <w:lang w:eastAsia="fr-FR"/>
          </w:rPr>
          <w:t>L. 511-1</w:t>
        </w:r>
      </w:hyperlink>
      <w:r w:rsidRPr="00874A27">
        <w:rPr>
          <w:rFonts w:ascii="Arial" w:eastAsia="Times New Roman" w:hAnsi="Arial" w:cs="Arial"/>
          <w:color w:val="000000"/>
          <w:sz w:val="19"/>
          <w:szCs w:val="19"/>
          <w:lang w:eastAsia="fr-FR"/>
        </w:rPr>
        <w:t> du code de la construction et de l'habitation et ayant fait l'objet d'un vote en assemblée générale n'ont pu être réalisés du fait de la défaillance dudit copropriétaire. Les astreintes sont alors fixées par lot. » ;</w:t>
      </w:r>
      <w:r w:rsidRPr="00874A27">
        <w:rPr>
          <w:rFonts w:ascii="Arial" w:eastAsia="Times New Roman" w:hAnsi="Arial" w:cs="Arial"/>
          <w:color w:val="000000"/>
          <w:sz w:val="19"/>
          <w:szCs w:val="19"/>
          <w:lang w:eastAsia="fr-FR"/>
        </w:rPr>
        <w:br/>
        <w:t>2° Après l'article 24-6, il est inséré un article 24-8 ainsi rédigé :</w:t>
      </w:r>
      <w:r w:rsidRPr="00874A27">
        <w:rPr>
          <w:rFonts w:ascii="Arial" w:eastAsia="Times New Roman" w:hAnsi="Arial" w:cs="Arial"/>
          <w:color w:val="000000"/>
          <w:sz w:val="19"/>
          <w:szCs w:val="19"/>
          <w:lang w:eastAsia="fr-FR"/>
        </w:rPr>
        <w:br/>
        <w:t>« Art. 24-8. - Lorsque, en application de l'</w:t>
      </w:r>
      <w:hyperlink r:id="rId359" w:history="1">
        <w:r w:rsidRPr="00874A27">
          <w:rPr>
            <w:rFonts w:ascii="Arial" w:eastAsia="Times New Roman" w:hAnsi="Arial" w:cs="Arial"/>
            <w:color w:val="336699"/>
            <w:sz w:val="19"/>
            <w:szCs w:val="19"/>
            <w:u w:val="single"/>
            <w:lang w:eastAsia="fr-FR"/>
          </w:rPr>
          <w:t>article L. 1331-29 du code de la santé publique</w:t>
        </w:r>
      </w:hyperlink>
      <w:r w:rsidRPr="00874A27">
        <w:rPr>
          <w:rFonts w:ascii="Arial" w:eastAsia="Times New Roman" w:hAnsi="Arial" w:cs="Arial"/>
          <w:color w:val="000000"/>
          <w:sz w:val="19"/>
          <w:szCs w:val="19"/>
          <w:lang w:eastAsia="fr-FR"/>
        </w:rPr>
        <w:t> ou des articles </w:t>
      </w:r>
      <w:hyperlink r:id="rId360" w:history="1">
        <w:r w:rsidRPr="00874A27">
          <w:rPr>
            <w:rFonts w:ascii="Arial" w:eastAsia="Times New Roman" w:hAnsi="Arial" w:cs="Arial"/>
            <w:color w:val="336699"/>
            <w:sz w:val="19"/>
            <w:szCs w:val="19"/>
            <w:u w:val="single"/>
            <w:lang w:eastAsia="fr-FR"/>
          </w:rPr>
          <w:t>L. 129-2</w:t>
        </w:r>
      </w:hyperlink>
      <w:r w:rsidRPr="00874A27">
        <w:rPr>
          <w:rFonts w:ascii="Arial" w:eastAsia="Times New Roman" w:hAnsi="Arial" w:cs="Arial"/>
          <w:color w:val="000000"/>
          <w:sz w:val="19"/>
          <w:szCs w:val="19"/>
          <w:lang w:eastAsia="fr-FR"/>
        </w:rPr>
        <w:t> ou </w:t>
      </w:r>
      <w:hyperlink r:id="rId361" w:history="1">
        <w:r w:rsidRPr="00874A27">
          <w:rPr>
            <w:rFonts w:ascii="Arial" w:eastAsia="Times New Roman" w:hAnsi="Arial" w:cs="Arial"/>
            <w:color w:val="336699"/>
            <w:sz w:val="19"/>
            <w:szCs w:val="19"/>
            <w:u w:val="single"/>
            <w:lang w:eastAsia="fr-FR"/>
          </w:rPr>
          <w:t>L. 511-2</w:t>
        </w:r>
      </w:hyperlink>
      <w:r w:rsidRPr="00874A27">
        <w:rPr>
          <w:rFonts w:ascii="Arial" w:eastAsia="Times New Roman" w:hAnsi="Arial" w:cs="Arial"/>
          <w:color w:val="000000"/>
          <w:sz w:val="19"/>
          <w:szCs w:val="19"/>
          <w:lang w:eastAsia="fr-FR"/>
        </w:rPr>
        <w:t> du code de la construction et de l'habitation, une astreinte applicable à chaque lot a été notifiée au syndicat des copropriétaires, pris en la personne du syndic, par une autorité publique, le syndic en informe immédiatement les copropriétaires.</w:t>
      </w:r>
      <w:r w:rsidRPr="00874A27">
        <w:rPr>
          <w:rFonts w:ascii="Arial" w:eastAsia="Times New Roman" w:hAnsi="Arial" w:cs="Arial"/>
          <w:color w:val="000000"/>
          <w:sz w:val="19"/>
          <w:szCs w:val="19"/>
          <w:lang w:eastAsia="fr-FR"/>
        </w:rPr>
        <w:br/>
        <w:t>« Lorsque l'inexécution des travaux et mesures prescrits par l'arrêté de police administrative résulte de la défaillance de certains copropriétaires, le syndic en informe l'autorité publique compétente, en lui indiquant les démarches entreprises et en lui fournissant une attestation de défaillance. Sont réputés défaillants les copropriétaires qui, après avoir été mis en demeure par le syndic, n'ont pas répondu aux appels de fonds nécessaires à la réalisation des travaux dans le délai de quinze jours après la sommation de payer. Au vu de l'attestation de défaillance, l'autorité publique notifie le montant de l'astreinte aux copropriétaires défaillants et procède à sa liquidation et à son recouvrement comme il est prévu aux mêmes articles L. 1331-29, L. 129-2 et L. 511-2.</w:t>
      </w:r>
      <w:r w:rsidRPr="00874A27">
        <w:rPr>
          <w:rFonts w:ascii="Arial" w:eastAsia="Times New Roman" w:hAnsi="Arial" w:cs="Arial"/>
          <w:color w:val="000000"/>
          <w:sz w:val="19"/>
          <w:szCs w:val="19"/>
          <w:lang w:eastAsia="fr-FR"/>
        </w:rPr>
        <w:br/>
        <w:t>« Lorsque l'assemblée générale des copropriétaires n'a pas été en mesure de voter les modalités de réalisation des travaux prescrits par un des arrêtés de police administrative mentionnés aux mêmes articles et que le syndicat des copropriétaires est lui-même défaillant, chacun des copropriétaires est redevable du montant de l'astreinte correspondant à son lot de copropriété notifié par l'autorité publique compétente.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79" w:name="JORFARTI000028773998"/>
      <w:bookmarkEnd w:id="79"/>
      <w:r w:rsidRPr="00874A27">
        <w:rPr>
          <w:rFonts w:ascii="Arial" w:eastAsia="Times New Roman" w:hAnsi="Arial" w:cs="Arial"/>
          <w:b/>
          <w:bCs/>
          <w:color w:val="000000"/>
          <w:sz w:val="23"/>
          <w:szCs w:val="23"/>
          <w:lang w:eastAsia="fr-FR"/>
        </w:rPr>
        <w:t>Article 80 </w:t>
      </w:r>
      <w:hyperlink r:id="rId362" w:tooltip="En savoir plus sur l'article 8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Après l'article L. 541-2 du code de la construction et de l'habitation, il est inséré un article L. 541-2-1 ainsi rédigé :</w:t>
      </w:r>
      <w:r w:rsidRPr="00874A27">
        <w:rPr>
          <w:rFonts w:ascii="Arial" w:eastAsia="Times New Roman" w:hAnsi="Arial" w:cs="Arial"/>
          <w:color w:val="000000"/>
          <w:sz w:val="19"/>
          <w:szCs w:val="19"/>
          <w:lang w:eastAsia="fr-FR"/>
        </w:rPr>
        <w:br/>
        <w:t>« Art. L. 541-2-1. - Lorsqu'un arrêté pris en application de l'</w:t>
      </w:r>
      <w:hyperlink r:id="rId363" w:history="1">
        <w:r w:rsidRPr="00874A27">
          <w:rPr>
            <w:rFonts w:ascii="Arial" w:eastAsia="Times New Roman" w:hAnsi="Arial" w:cs="Arial"/>
            <w:color w:val="336699"/>
            <w:sz w:val="19"/>
            <w:szCs w:val="19"/>
            <w:u w:val="single"/>
            <w:lang w:eastAsia="fr-FR"/>
          </w:rPr>
          <w:t>article L. 1331-28 du code de la santé publique</w:t>
        </w:r>
      </w:hyperlink>
      <w:r w:rsidRPr="00874A27">
        <w:rPr>
          <w:rFonts w:ascii="Arial" w:eastAsia="Times New Roman" w:hAnsi="Arial" w:cs="Arial"/>
          <w:color w:val="000000"/>
          <w:sz w:val="19"/>
          <w:szCs w:val="19"/>
          <w:lang w:eastAsia="fr-FR"/>
        </w:rPr>
        <w:t> ou des articles L. 123-3, L. 129-2 ou L. 511-2 du présent code concerne un immeuble en indivision, à compter de la notification qui a été adressée aux indivisaires par l'autorité administrative, ceux-ci sont solidairement tenus du paiement des sommes résultant des mesures exécutées d'office et des frais d'hébergement ou de relogement des occupants.</w:t>
      </w:r>
      <w:r w:rsidRPr="00874A27">
        <w:rPr>
          <w:rFonts w:ascii="Arial" w:eastAsia="Times New Roman" w:hAnsi="Arial" w:cs="Arial"/>
          <w:color w:val="000000"/>
          <w:sz w:val="19"/>
          <w:szCs w:val="19"/>
          <w:lang w:eastAsia="fr-FR"/>
        </w:rPr>
        <w:br/>
        <w:t>« Lorsque, faute d'avoir pu identifier la totalité des indivisaires, l'autorité administrative n'a pas été en mesure de notifier l'arrêté à chacun d'entre eux, la solidarité entre les indivisaires identifiés court à compter de la publication de l'arrêté au fichier immobilier ou au livre foncier.</w:t>
      </w:r>
      <w:r w:rsidRPr="00874A27">
        <w:rPr>
          <w:rFonts w:ascii="Arial" w:eastAsia="Times New Roman" w:hAnsi="Arial" w:cs="Arial"/>
          <w:color w:val="000000"/>
          <w:sz w:val="19"/>
          <w:szCs w:val="19"/>
          <w:lang w:eastAsia="fr-FR"/>
        </w:rPr>
        <w:br/>
        <w:t>« L'arrêté, notifié à chacun des indivisaires, précise que la non-exécution des mesures et travaux dans le délai prescrit expose solidairement les indivisaires au paiement d'une astreinte exigible dans les conditions prévues, respectivement, au </w:t>
      </w:r>
      <w:hyperlink r:id="rId364" w:history="1">
        <w:r w:rsidRPr="00874A27">
          <w:rPr>
            <w:rFonts w:ascii="Arial" w:eastAsia="Times New Roman" w:hAnsi="Arial" w:cs="Arial"/>
            <w:color w:val="336699"/>
            <w:sz w:val="19"/>
            <w:szCs w:val="19"/>
            <w:u w:val="single"/>
            <w:lang w:eastAsia="fr-FR"/>
          </w:rPr>
          <w:t>III de l'article L. 1331-29 du code de la santé publique</w:t>
        </w:r>
      </w:hyperlink>
      <w:r w:rsidRPr="00874A27">
        <w:rPr>
          <w:rFonts w:ascii="Arial" w:eastAsia="Times New Roman" w:hAnsi="Arial" w:cs="Arial"/>
          <w:color w:val="000000"/>
          <w:sz w:val="19"/>
          <w:szCs w:val="19"/>
          <w:lang w:eastAsia="fr-FR"/>
        </w:rPr>
        <w:t>, au III de l'article L. 123-3, à l'article L. 129-2 et au </w:t>
      </w:r>
      <w:hyperlink r:id="rId365" w:history="1">
        <w:r w:rsidRPr="00874A27">
          <w:rPr>
            <w:rFonts w:ascii="Arial" w:eastAsia="Times New Roman" w:hAnsi="Arial" w:cs="Arial"/>
            <w:color w:val="336699"/>
            <w:sz w:val="19"/>
            <w:szCs w:val="19"/>
            <w:u w:val="single"/>
            <w:lang w:eastAsia="fr-FR"/>
          </w:rPr>
          <w:t>IV de l'article L. 511-2 du code de la construction et de l'habitation</w:t>
        </w:r>
      </w:hyperlink>
      <w:r w:rsidRPr="00874A27">
        <w:rPr>
          <w:rFonts w:ascii="Arial" w:eastAsia="Times New Roman" w:hAnsi="Arial" w:cs="Arial"/>
          <w:color w:val="000000"/>
          <w:sz w:val="19"/>
          <w:szCs w:val="19"/>
          <w:lang w:eastAsia="fr-FR"/>
        </w:rPr>
        <w:t>. Elle est liquidée et recouvrée comme il est précisé à ces mêmes articles. »</w:t>
      </w:r>
      <w:r w:rsidRPr="00874A27">
        <w:rPr>
          <w:rFonts w:ascii="Arial" w:eastAsia="Times New Roman" w:hAnsi="Arial" w:cs="Arial"/>
          <w:color w:val="000000"/>
          <w:sz w:val="19"/>
          <w:szCs w:val="19"/>
          <w:lang w:eastAsia="fr-FR"/>
        </w:rPr>
        <w:br/>
        <w:t>II. ― L'intitulé du chapitre Ier du titre IV du livre V du même code est complété par les mots : « et entre indivisaires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0" w:name="JORFARTI000028774005"/>
      <w:bookmarkEnd w:id="80"/>
      <w:r w:rsidRPr="00874A27">
        <w:rPr>
          <w:rFonts w:ascii="Arial" w:eastAsia="Times New Roman" w:hAnsi="Arial" w:cs="Arial"/>
          <w:b/>
          <w:bCs/>
          <w:color w:val="000000"/>
          <w:sz w:val="23"/>
          <w:szCs w:val="23"/>
          <w:lang w:eastAsia="fr-FR"/>
        </w:rPr>
        <w:t>Article 81 </w:t>
      </w:r>
      <w:hyperlink r:id="rId366" w:tooltip="En savoir plus sur l'article 8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Après le 4° de l'article 225-19 du code pénal, il est inséré un 4° bis ainsi rédigé :</w:t>
      </w:r>
      <w:r w:rsidRPr="00874A27">
        <w:rPr>
          <w:rFonts w:ascii="Arial" w:eastAsia="Times New Roman" w:hAnsi="Arial" w:cs="Arial"/>
          <w:color w:val="000000"/>
          <w:sz w:val="19"/>
          <w:szCs w:val="19"/>
          <w:lang w:eastAsia="fr-FR"/>
        </w:rPr>
        <w:br/>
        <w:t>« 4° bis. La confiscation au profit de l'Etat de l'usufruit de tout ou partie de leurs biens, quelle qu'en soit la nature, meubles ou immeubles, divis ou indivis, ayant servi à commettre l'infraction prévue à l'article 225-14, les personnes physiques coupables gardant la nue-propriété de leurs biens ; ».</w:t>
      </w:r>
      <w:r w:rsidRPr="00874A27">
        <w:rPr>
          <w:rFonts w:ascii="Arial" w:eastAsia="Times New Roman" w:hAnsi="Arial" w:cs="Arial"/>
          <w:color w:val="000000"/>
          <w:sz w:val="19"/>
          <w:szCs w:val="19"/>
          <w:lang w:eastAsia="fr-FR"/>
        </w:rPr>
        <w:br/>
        <w:t xml:space="preserve">II. ― Après le 1° du IV de l'article L. 1337-4 du code de la santé publique, il est inséré un 1° bis ainsi </w:t>
      </w:r>
      <w:r w:rsidRPr="00874A27">
        <w:rPr>
          <w:rFonts w:ascii="Arial" w:eastAsia="Times New Roman" w:hAnsi="Arial" w:cs="Arial"/>
          <w:color w:val="000000"/>
          <w:sz w:val="19"/>
          <w:szCs w:val="19"/>
          <w:lang w:eastAsia="fr-FR"/>
        </w:rPr>
        <w:lastRenderedPageBreak/>
        <w:t>rédigé :</w:t>
      </w:r>
      <w:r w:rsidRPr="00874A27">
        <w:rPr>
          <w:rFonts w:ascii="Arial" w:eastAsia="Times New Roman" w:hAnsi="Arial" w:cs="Arial"/>
          <w:color w:val="000000"/>
          <w:sz w:val="19"/>
          <w:szCs w:val="19"/>
          <w:lang w:eastAsia="fr-FR"/>
        </w:rPr>
        <w:br/>
        <w:t>« 1° bis. La confiscation au profit de l'Etat de l'usufruit de tout ou partie de leurs biens, quelle qu'en soit la nature, meubles ou immeubles, divis ou indivis, ayant servi à commettre l'infraction, les personnes physiques coupables gardant la nue-propriété de leurs biens.</w:t>
      </w:r>
      <w:r w:rsidRPr="00874A27">
        <w:rPr>
          <w:rFonts w:ascii="Arial" w:eastAsia="Times New Roman" w:hAnsi="Arial" w:cs="Arial"/>
          <w:color w:val="000000"/>
          <w:sz w:val="19"/>
          <w:szCs w:val="19"/>
          <w:lang w:eastAsia="fr-FR"/>
        </w:rPr>
        <w:br/>
        <w:t>« Le produit de l'usufruit confisqué est liquidé et recouvré par l'Etat. Les sommes sont versées au budget de l'Agence nationale de l'habitat ; ».</w:t>
      </w:r>
      <w:r w:rsidRPr="00874A27">
        <w:rPr>
          <w:rFonts w:ascii="Arial" w:eastAsia="Times New Roman" w:hAnsi="Arial" w:cs="Arial"/>
          <w:color w:val="000000"/>
          <w:sz w:val="19"/>
          <w:szCs w:val="19"/>
          <w:lang w:eastAsia="fr-FR"/>
        </w:rPr>
        <w:br/>
        <w:t>III. ― Après le 1° du V de l'article L. 123-3 du code de la construction et de l'habitation, il est inséré un 1° bis ainsi rédigé :</w:t>
      </w:r>
      <w:r w:rsidRPr="00874A27">
        <w:rPr>
          <w:rFonts w:ascii="Arial" w:eastAsia="Times New Roman" w:hAnsi="Arial" w:cs="Arial"/>
          <w:color w:val="000000"/>
          <w:sz w:val="19"/>
          <w:szCs w:val="19"/>
          <w:lang w:eastAsia="fr-FR"/>
        </w:rPr>
        <w:br/>
        <w:t>« 1° bis. La confiscation au profit de l'Etat de l'usufruit de tout ou partie de leurs biens, quelle qu'en soit la nature, meubles ou immeubles, divis ou indivis, ayant servi à commettre l'infraction, les personnes physiques coupables gardant la nue-propriété de leurs biens.</w:t>
      </w:r>
      <w:r w:rsidRPr="00874A27">
        <w:rPr>
          <w:rFonts w:ascii="Arial" w:eastAsia="Times New Roman" w:hAnsi="Arial" w:cs="Arial"/>
          <w:color w:val="000000"/>
          <w:sz w:val="19"/>
          <w:szCs w:val="19"/>
          <w:lang w:eastAsia="fr-FR"/>
        </w:rPr>
        <w:br/>
        <w:t>« Le produit de l'usufruit confisqué est liquidé et recouvré par l'Etat. Les sommes sont versées au budget de l'Agence nationale de l'habitat ; ».</w:t>
      </w:r>
      <w:r w:rsidRPr="00874A27">
        <w:rPr>
          <w:rFonts w:ascii="Arial" w:eastAsia="Times New Roman" w:hAnsi="Arial" w:cs="Arial"/>
          <w:color w:val="000000"/>
          <w:sz w:val="19"/>
          <w:szCs w:val="19"/>
          <w:lang w:eastAsia="fr-FR"/>
        </w:rPr>
        <w:br/>
        <w:t>IV. ― Après le premier alinéa du III de l'article L. 511-6 du même code, il est inséré un 1° A ainsi rédigé :</w:t>
      </w:r>
      <w:r w:rsidRPr="00874A27">
        <w:rPr>
          <w:rFonts w:ascii="Arial" w:eastAsia="Times New Roman" w:hAnsi="Arial" w:cs="Arial"/>
          <w:color w:val="000000"/>
          <w:sz w:val="19"/>
          <w:szCs w:val="19"/>
          <w:lang w:eastAsia="fr-FR"/>
        </w:rPr>
        <w:br/>
        <w:t>« 1° A La confiscation au profit de l'Etat de l'usufruit de tout ou partie de leurs biens, quelle qu'en soit la nature, meubles ou immeubles, divis ou indivis, ayant servi à commettre l'infraction, les personnes physiques coupables gardant la nue-propriété de leurs biens.</w:t>
      </w:r>
      <w:r w:rsidRPr="00874A27">
        <w:rPr>
          <w:rFonts w:ascii="Arial" w:eastAsia="Times New Roman" w:hAnsi="Arial" w:cs="Arial"/>
          <w:color w:val="000000"/>
          <w:sz w:val="19"/>
          <w:szCs w:val="19"/>
          <w:lang w:eastAsia="fr-FR"/>
        </w:rPr>
        <w:br/>
        <w:t>« Le produit de l'usufruit confisqué est liquidé et recouvré par l'Etat. Les sommes sont versées au budget de l'Agence nationale de l'habitat ;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1" w:name="JORFARTI000028774014"/>
      <w:bookmarkEnd w:id="81"/>
      <w:r w:rsidRPr="00874A27">
        <w:rPr>
          <w:rFonts w:ascii="Arial" w:eastAsia="Times New Roman" w:hAnsi="Arial" w:cs="Arial"/>
          <w:b/>
          <w:bCs/>
          <w:color w:val="000000"/>
          <w:sz w:val="23"/>
          <w:szCs w:val="23"/>
          <w:lang w:eastAsia="fr-FR"/>
        </w:rPr>
        <w:t>Article 82 </w:t>
      </w:r>
      <w:hyperlink r:id="rId367" w:tooltip="En savoir plus sur l'article 8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Au premier alinéa de l'article L. 300-1 du code de l'urbanisme, après le mot : « insalubrité », sont insérés les mots : « et l'habitat indigne ou dangereux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2" w:name="JORFARTI000028774017"/>
      <w:bookmarkEnd w:id="82"/>
      <w:r w:rsidRPr="00874A27">
        <w:rPr>
          <w:rFonts w:ascii="Arial" w:eastAsia="Times New Roman" w:hAnsi="Arial" w:cs="Arial"/>
          <w:b/>
          <w:bCs/>
          <w:color w:val="000000"/>
          <w:sz w:val="23"/>
          <w:szCs w:val="23"/>
          <w:lang w:eastAsia="fr-FR"/>
        </w:rPr>
        <w:t>Article 83 </w:t>
      </w:r>
      <w:hyperlink r:id="rId368" w:tooltip="En savoir plus sur l'article 8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Lorsque les travaux prescrits par un arrêté concernant un local à usage principal d'habitation, pris sur le fondement soit de l'</w:t>
      </w:r>
      <w:hyperlink r:id="rId369" w:history="1">
        <w:r w:rsidRPr="00874A27">
          <w:rPr>
            <w:rFonts w:ascii="Arial" w:eastAsia="Times New Roman" w:hAnsi="Arial" w:cs="Arial"/>
            <w:color w:val="336699"/>
            <w:sz w:val="19"/>
            <w:szCs w:val="19"/>
            <w:u w:val="single"/>
            <w:lang w:eastAsia="fr-FR"/>
          </w:rPr>
          <w:t>article L. 1331-28 du code de la santé publique</w:t>
        </w:r>
      </w:hyperlink>
      <w:r w:rsidRPr="00874A27">
        <w:rPr>
          <w:rFonts w:ascii="Arial" w:eastAsia="Times New Roman" w:hAnsi="Arial" w:cs="Arial"/>
          <w:color w:val="000000"/>
          <w:sz w:val="19"/>
          <w:szCs w:val="19"/>
          <w:lang w:eastAsia="fr-FR"/>
        </w:rPr>
        <w:t>, soit des articles </w:t>
      </w:r>
      <w:hyperlink r:id="rId370" w:history="1">
        <w:r w:rsidRPr="00874A27">
          <w:rPr>
            <w:rFonts w:ascii="Arial" w:eastAsia="Times New Roman" w:hAnsi="Arial" w:cs="Arial"/>
            <w:color w:val="336699"/>
            <w:sz w:val="19"/>
            <w:szCs w:val="19"/>
            <w:u w:val="single"/>
            <w:lang w:eastAsia="fr-FR"/>
          </w:rPr>
          <w:t>L. 123-3</w:t>
        </w:r>
      </w:hyperlink>
      <w:r w:rsidRPr="00874A27">
        <w:rPr>
          <w:rFonts w:ascii="Arial" w:eastAsia="Times New Roman" w:hAnsi="Arial" w:cs="Arial"/>
          <w:color w:val="000000"/>
          <w:sz w:val="19"/>
          <w:szCs w:val="19"/>
          <w:lang w:eastAsia="fr-FR"/>
        </w:rPr>
        <w:t>, </w:t>
      </w:r>
      <w:hyperlink r:id="rId371" w:history="1">
        <w:r w:rsidRPr="00874A27">
          <w:rPr>
            <w:rFonts w:ascii="Arial" w:eastAsia="Times New Roman" w:hAnsi="Arial" w:cs="Arial"/>
            <w:color w:val="336699"/>
            <w:sz w:val="19"/>
            <w:szCs w:val="19"/>
            <w:u w:val="single"/>
            <w:lang w:eastAsia="fr-FR"/>
          </w:rPr>
          <w:t>L. 129-1</w:t>
        </w:r>
      </w:hyperlink>
      <w:r w:rsidRPr="00874A27">
        <w:rPr>
          <w:rFonts w:ascii="Arial" w:eastAsia="Times New Roman" w:hAnsi="Arial" w:cs="Arial"/>
          <w:color w:val="000000"/>
          <w:sz w:val="19"/>
          <w:szCs w:val="19"/>
          <w:lang w:eastAsia="fr-FR"/>
        </w:rPr>
        <w:t> ou </w:t>
      </w:r>
      <w:hyperlink r:id="rId372" w:history="1">
        <w:r w:rsidRPr="00874A27">
          <w:rPr>
            <w:rFonts w:ascii="Arial" w:eastAsia="Times New Roman" w:hAnsi="Arial" w:cs="Arial"/>
            <w:color w:val="336699"/>
            <w:sz w:val="19"/>
            <w:szCs w:val="19"/>
            <w:u w:val="single"/>
            <w:lang w:eastAsia="fr-FR"/>
          </w:rPr>
          <w:t>L. 511-2</w:t>
        </w:r>
      </w:hyperlink>
      <w:r w:rsidRPr="00874A27">
        <w:rPr>
          <w:rFonts w:ascii="Arial" w:eastAsia="Times New Roman" w:hAnsi="Arial" w:cs="Arial"/>
          <w:color w:val="000000"/>
          <w:sz w:val="19"/>
          <w:szCs w:val="19"/>
          <w:lang w:eastAsia="fr-FR"/>
        </w:rPr>
        <w:t> du code de la construction et de l'habitation dans leur rédaction antérieure à la présente loi, n'ont ni été réalisés par le propriétaire dans le délai prévu par ledit arrêté, ni fait l'objet d'une exécution d'office, l'autorité auteur de l'arrêté peut mettre en demeure la personne tenue de l'exécuter de réaliser dans le délai d'un mois les mesures et travaux prescrits par ledit arrêté. Dans ce cas, elle l'informe simultanément que la non-exécution des travaux dans ce délai l'expose au paiement d'une astreinte par jour de retard.</w:t>
      </w:r>
      <w:r w:rsidRPr="00874A27">
        <w:rPr>
          <w:rFonts w:ascii="Arial" w:eastAsia="Times New Roman" w:hAnsi="Arial" w:cs="Arial"/>
          <w:color w:val="000000"/>
          <w:sz w:val="19"/>
          <w:szCs w:val="19"/>
          <w:lang w:eastAsia="fr-FR"/>
        </w:rPr>
        <w:br/>
        <w:t>En l'absence d'exécution des travaux prescrits par ledit arrêté à l'issue du délai fixé par la mise en demeure, l'autorité administrative peut fixer, par arrêté, une astreinte d'un montant maximal de 1 000 € par jour de retard à l'encontre de la personne défaillante tenue d'exécuter les mesures prescrites par l'arrêté. Le montant de l'astreinte peut être progressif dans le temps et modulé dans des conditions fixées par voie réglementaire, tenant compte de l'ampleur des mesures et travaux prescrits et des conséquences de la non-exécution.</w:t>
      </w:r>
      <w:r w:rsidRPr="00874A27">
        <w:rPr>
          <w:rFonts w:ascii="Arial" w:eastAsia="Times New Roman" w:hAnsi="Arial" w:cs="Arial"/>
          <w:color w:val="000000"/>
          <w:sz w:val="19"/>
          <w:szCs w:val="19"/>
          <w:lang w:eastAsia="fr-FR"/>
        </w:rPr>
        <w:br/>
        <w:t>L'astreinte court à compter de la notification de l'arrêté fixant l'astreinte et jusqu'à la complète exécution des travaux prescrits.</w:t>
      </w:r>
      <w:r w:rsidRPr="00874A27">
        <w:rPr>
          <w:rFonts w:ascii="Arial" w:eastAsia="Times New Roman" w:hAnsi="Arial" w:cs="Arial"/>
          <w:color w:val="000000"/>
          <w:sz w:val="19"/>
          <w:szCs w:val="19"/>
          <w:lang w:eastAsia="fr-FR"/>
        </w:rPr>
        <w:br/>
        <w:t>L'astreinte est fixée, liquidée et recouvrée dans les conditions prévues, selon le cas, à l'</w:t>
      </w:r>
      <w:hyperlink r:id="rId373" w:history="1">
        <w:r w:rsidRPr="00874A27">
          <w:rPr>
            <w:rFonts w:ascii="Arial" w:eastAsia="Times New Roman" w:hAnsi="Arial" w:cs="Arial"/>
            <w:color w:val="336699"/>
            <w:sz w:val="19"/>
            <w:szCs w:val="19"/>
            <w:u w:val="single"/>
            <w:lang w:eastAsia="fr-FR"/>
          </w:rPr>
          <w:t>article L. 1331-29 du code de la santé publique</w:t>
        </w:r>
      </w:hyperlink>
      <w:r w:rsidRPr="00874A27">
        <w:rPr>
          <w:rFonts w:ascii="Arial" w:eastAsia="Times New Roman" w:hAnsi="Arial" w:cs="Arial"/>
          <w:color w:val="000000"/>
          <w:sz w:val="19"/>
          <w:szCs w:val="19"/>
          <w:lang w:eastAsia="fr-FR"/>
        </w:rPr>
        <w:t> ou aux articles </w:t>
      </w:r>
      <w:hyperlink r:id="rId374" w:history="1">
        <w:r w:rsidRPr="00874A27">
          <w:rPr>
            <w:rFonts w:ascii="Arial" w:eastAsia="Times New Roman" w:hAnsi="Arial" w:cs="Arial"/>
            <w:color w:val="336699"/>
            <w:sz w:val="19"/>
            <w:szCs w:val="19"/>
            <w:u w:val="single"/>
            <w:lang w:eastAsia="fr-FR"/>
          </w:rPr>
          <w:t>L. 123-3</w:t>
        </w:r>
      </w:hyperlink>
      <w:r w:rsidRPr="00874A27">
        <w:rPr>
          <w:rFonts w:ascii="Arial" w:eastAsia="Times New Roman" w:hAnsi="Arial" w:cs="Arial"/>
          <w:color w:val="000000"/>
          <w:sz w:val="19"/>
          <w:szCs w:val="19"/>
          <w:lang w:eastAsia="fr-FR"/>
        </w:rPr>
        <w:t>, </w:t>
      </w:r>
      <w:hyperlink r:id="rId375" w:history="1">
        <w:r w:rsidRPr="00874A27">
          <w:rPr>
            <w:rFonts w:ascii="Arial" w:eastAsia="Times New Roman" w:hAnsi="Arial" w:cs="Arial"/>
            <w:color w:val="336699"/>
            <w:sz w:val="19"/>
            <w:szCs w:val="19"/>
            <w:u w:val="single"/>
            <w:lang w:eastAsia="fr-FR"/>
          </w:rPr>
          <w:t>L. 129-2</w:t>
        </w:r>
      </w:hyperlink>
      <w:r w:rsidRPr="00874A27">
        <w:rPr>
          <w:rFonts w:ascii="Arial" w:eastAsia="Times New Roman" w:hAnsi="Arial" w:cs="Arial"/>
          <w:color w:val="000000"/>
          <w:sz w:val="19"/>
          <w:szCs w:val="19"/>
          <w:lang w:eastAsia="fr-FR"/>
        </w:rPr>
        <w:t> ou </w:t>
      </w:r>
      <w:hyperlink r:id="rId376" w:history="1">
        <w:r w:rsidRPr="00874A27">
          <w:rPr>
            <w:rFonts w:ascii="Arial" w:eastAsia="Times New Roman" w:hAnsi="Arial" w:cs="Arial"/>
            <w:color w:val="336699"/>
            <w:sz w:val="19"/>
            <w:szCs w:val="19"/>
            <w:u w:val="single"/>
            <w:lang w:eastAsia="fr-FR"/>
          </w:rPr>
          <w:t>L. 511-2</w:t>
        </w:r>
      </w:hyperlink>
      <w:r w:rsidRPr="00874A27">
        <w:rPr>
          <w:rFonts w:ascii="Arial" w:eastAsia="Times New Roman" w:hAnsi="Arial" w:cs="Arial"/>
          <w:color w:val="000000"/>
          <w:sz w:val="19"/>
          <w:szCs w:val="19"/>
          <w:lang w:eastAsia="fr-FR"/>
        </w:rPr>
        <w:t> du code de la construction et de l'habitation, dans leur rédaction résultant de la présente loi.</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3" w:name="JORFARTI000028774026"/>
      <w:bookmarkEnd w:id="83"/>
      <w:r w:rsidRPr="00874A27">
        <w:rPr>
          <w:rFonts w:ascii="Arial" w:eastAsia="Times New Roman" w:hAnsi="Arial" w:cs="Arial"/>
          <w:b/>
          <w:bCs/>
          <w:color w:val="000000"/>
          <w:sz w:val="23"/>
          <w:szCs w:val="23"/>
          <w:lang w:eastAsia="fr-FR"/>
        </w:rPr>
        <w:t>Article 84 </w:t>
      </w:r>
      <w:hyperlink r:id="rId377" w:tooltip="En savoir plus sur l'article 8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titre IV du livre V du code de la construction et de l'habitation est complété par un chapitre III 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III</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Procédures applicables aux propriétaires défaillants</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 Art. L. 543-1. - Lorsqu'un arrêté d'insalubrité, pris en application de l'</w:t>
      </w:r>
      <w:hyperlink r:id="rId378" w:history="1">
        <w:r w:rsidRPr="00874A27">
          <w:rPr>
            <w:rFonts w:ascii="Arial" w:eastAsia="Times New Roman" w:hAnsi="Arial" w:cs="Arial"/>
            <w:color w:val="336699"/>
            <w:sz w:val="19"/>
            <w:szCs w:val="19"/>
            <w:u w:val="single"/>
            <w:lang w:eastAsia="fr-FR"/>
          </w:rPr>
          <w:t>article L. 1331-28 du code de la santé publique</w:t>
        </w:r>
      </w:hyperlink>
      <w:r w:rsidRPr="00874A27">
        <w:rPr>
          <w:rFonts w:ascii="Arial" w:eastAsia="Times New Roman" w:hAnsi="Arial" w:cs="Arial"/>
          <w:color w:val="000000"/>
          <w:sz w:val="19"/>
          <w:szCs w:val="19"/>
          <w:lang w:eastAsia="fr-FR"/>
        </w:rPr>
        <w:t>, un arrêté de péril, pris en application de l'article L. 511-2 du présent code, ou un arrêté relatif à la sécurité des équipements communs des immeubles à usage principal d'habitation, pris en application de l'article L. 129-2, concerne les parties communes d'un immeuble soumis à la </w:t>
      </w:r>
      <w:hyperlink r:id="rId379" w:history="1">
        <w:r w:rsidRPr="00874A27">
          <w:rPr>
            <w:rFonts w:ascii="Arial" w:eastAsia="Times New Roman" w:hAnsi="Arial" w:cs="Arial"/>
            <w:color w:val="336699"/>
            <w:sz w:val="19"/>
            <w:szCs w:val="19"/>
            <w:u w:val="single"/>
            <w:lang w:eastAsia="fr-FR"/>
          </w:rPr>
          <w:t>loi n° 65-557 du 10 juillet 1965</w:t>
        </w:r>
      </w:hyperlink>
      <w:r w:rsidRPr="00874A27">
        <w:rPr>
          <w:rFonts w:ascii="Arial" w:eastAsia="Times New Roman" w:hAnsi="Arial" w:cs="Arial"/>
          <w:color w:val="000000"/>
          <w:sz w:val="19"/>
          <w:szCs w:val="19"/>
          <w:lang w:eastAsia="fr-FR"/>
        </w:rPr>
        <w:t> fixant le statut de la copropriété des immeubles bâtis, l'arrêté précise que la non-exécution des mesures et travaux dans le délai prescrit expose les copropriétaires au paiement d'une astreinte exigible dans les conditions prévues ci-après.</w:t>
      </w:r>
      <w:r w:rsidRPr="00874A27">
        <w:rPr>
          <w:rFonts w:ascii="Arial" w:eastAsia="Times New Roman" w:hAnsi="Arial" w:cs="Arial"/>
          <w:color w:val="000000"/>
          <w:sz w:val="19"/>
          <w:szCs w:val="19"/>
          <w:lang w:eastAsia="fr-FR"/>
        </w:rPr>
        <w:br/>
        <w:t>« Si les mesures prescrites par l'un des arrêtés prévus au premier alinéa n'ont pas été exécutées dans le délai imparti, la mise en demeure d'y procéder, adressée par l'autorité publique compétente au syndicat des copropriétaires, pris en la personne du syndic, peut porter application d'une astreinte d'un montant maximal de 1 000 € par lot et par jour de retard à l'encontre des copropriétaires.</w:t>
      </w:r>
      <w:r w:rsidRPr="00874A27">
        <w:rPr>
          <w:rFonts w:ascii="Arial" w:eastAsia="Times New Roman" w:hAnsi="Arial" w:cs="Arial"/>
          <w:color w:val="000000"/>
          <w:sz w:val="19"/>
          <w:szCs w:val="19"/>
          <w:lang w:eastAsia="fr-FR"/>
        </w:rPr>
        <w:br/>
        <w:t>« A l'issue du délai fixé par la mise en demeure, si l'inexécution des travaux prescrits résulte de l'absence de décision du syndicat des copropriétaires, le montant de l'astreinte due est notifié à chacun des copropriétaires et recouvré par l'autorité publique à l'encontre de chacun d'eux. L'astreinte court à compter de la mise en demeure adressée au syndicat des copropriétaires.</w:t>
      </w:r>
      <w:r w:rsidRPr="00874A27">
        <w:rPr>
          <w:rFonts w:ascii="Arial" w:eastAsia="Times New Roman" w:hAnsi="Arial" w:cs="Arial"/>
          <w:color w:val="000000"/>
          <w:sz w:val="19"/>
          <w:szCs w:val="19"/>
          <w:lang w:eastAsia="fr-FR"/>
        </w:rPr>
        <w:br/>
        <w:t>« Si, à l'issue du délai fixé par la mise en demeure, le syndic de la copropriété atteste que l'inexécution des travaux prescrits résulte de la défaillance de certains copropriétaires à avoir répondu aux appels de fonds nécessaires, votés par l'assemblée générale des copropriétaires, l'autorité publique notifie, par arrêté, le montant de l'astreinte due par chacun des copropriétaires défaillants, dont le montant court à compter de la mise en demeure adressée au syndic de la copropriété.</w:t>
      </w:r>
      <w:r w:rsidRPr="00874A27">
        <w:rPr>
          <w:rFonts w:ascii="Arial" w:eastAsia="Times New Roman" w:hAnsi="Arial" w:cs="Arial"/>
          <w:color w:val="000000"/>
          <w:sz w:val="19"/>
          <w:szCs w:val="19"/>
          <w:lang w:eastAsia="fr-FR"/>
        </w:rPr>
        <w:br/>
        <w:t>« L'astreinte exigible en application du présent article s'ajoute, le cas échéant, à celle qui peut être appliquée aux copropriétaires dont les parties privatives sont frappées d'un arrêté de péril ou d'insalubrité.</w:t>
      </w:r>
      <w:r w:rsidRPr="00874A27">
        <w:rPr>
          <w:rFonts w:ascii="Arial" w:eastAsia="Times New Roman" w:hAnsi="Arial" w:cs="Arial"/>
          <w:color w:val="000000"/>
          <w:sz w:val="19"/>
          <w:szCs w:val="19"/>
          <w:lang w:eastAsia="fr-FR"/>
        </w:rPr>
        <w:br/>
        <w:t>« L'astreinte est liquidée et recouvrée comme il est précisé au </w:t>
      </w:r>
      <w:hyperlink r:id="rId380" w:history="1">
        <w:r w:rsidRPr="00874A27">
          <w:rPr>
            <w:rFonts w:ascii="Arial" w:eastAsia="Times New Roman" w:hAnsi="Arial" w:cs="Arial"/>
            <w:color w:val="336699"/>
            <w:sz w:val="19"/>
            <w:szCs w:val="19"/>
            <w:u w:val="single"/>
            <w:lang w:eastAsia="fr-FR"/>
          </w:rPr>
          <w:t>III de l'article L. 1331-29 du code de la santé publique</w:t>
        </w:r>
      </w:hyperlink>
      <w:r w:rsidRPr="00874A27">
        <w:rPr>
          <w:rFonts w:ascii="Arial" w:eastAsia="Times New Roman" w:hAnsi="Arial" w:cs="Arial"/>
          <w:color w:val="000000"/>
          <w:sz w:val="19"/>
          <w:szCs w:val="19"/>
          <w:lang w:eastAsia="fr-FR"/>
        </w:rPr>
        <w:t>, à l'article L. 129-2 du présent code et au IV de l'article L. 511-2.</w:t>
      </w:r>
      <w:r w:rsidRPr="00874A27">
        <w:rPr>
          <w:rFonts w:ascii="Arial" w:eastAsia="Times New Roman" w:hAnsi="Arial" w:cs="Arial"/>
          <w:color w:val="000000"/>
          <w:sz w:val="19"/>
          <w:szCs w:val="19"/>
          <w:lang w:eastAsia="fr-FR"/>
        </w:rPr>
        <w:br/>
        <w:t>« L'application de l'astreinte et sa liquidation ne font pas obstacle à l'exécution d'office par l'autorité publique des mesures et travaux prescrits par l'arrêté, ou de sa substitution aux seuls copropriétaires défaillants, en application de l'</w:t>
      </w:r>
      <w:hyperlink r:id="rId381" w:history="1">
        <w:r w:rsidRPr="00874A27">
          <w:rPr>
            <w:rFonts w:ascii="Arial" w:eastAsia="Times New Roman" w:hAnsi="Arial" w:cs="Arial"/>
            <w:color w:val="336699"/>
            <w:sz w:val="19"/>
            <w:szCs w:val="19"/>
            <w:u w:val="single"/>
            <w:lang w:eastAsia="fr-FR"/>
          </w:rPr>
          <w:t>article L. 1331-29 du code de la santé publique</w:t>
        </w:r>
      </w:hyperlink>
      <w:r w:rsidRPr="00874A27">
        <w:rPr>
          <w:rFonts w:ascii="Arial" w:eastAsia="Times New Roman" w:hAnsi="Arial" w:cs="Arial"/>
          <w:color w:val="000000"/>
          <w:sz w:val="19"/>
          <w:szCs w:val="19"/>
          <w:lang w:eastAsia="fr-FR"/>
        </w:rPr>
        <w:t>, ou des articles L. 511-2 ou L. 129-2 du présent code. Dans ces cas, le montant de l'astreinte s'ajoute à celui des créances résultant de l'exécution d'office ou de la substitution de l'autorité publique aux seuls copropriétaires défaillants. Il est recouvré comme en matière de contributions directes et est garanti par les dispositions prévues au </w:t>
      </w:r>
      <w:hyperlink r:id="rId382" w:history="1">
        <w:r w:rsidRPr="00874A27">
          <w:rPr>
            <w:rFonts w:ascii="Arial" w:eastAsia="Times New Roman" w:hAnsi="Arial" w:cs="Arial"/>
            <w:color w:val="336699"/>
            <w:sz w:val="19"/>
            <w:szCs w:val="19"/>
            <w:u w:val="single"/>
            <w:lang w:eastAsia="fr-FR"/>
          </w:rPr>
          <w:t>8° de l'article 2374 du code civil</w:t>
        </w:r>
      </w:hyperlink>
      <w:r w:rsidRPr="00874A27">
        <w:rPr>
          <w:rFonts w:ascii="Arial" w:eastAsia="Times New Roman" w:hAnsi="Arial" w:cs="Arial"/>
          <w:color w:val="000000"/>
          <w:sz w:val="19"/>
          <w:szCs w:val="19"/>
          <w:lang w:eastAsia="fr-FR"/>
        </w:rPr>
        <w:t> et aux articles L. 541-1 et suivants du présent code.</w:t>
      </w:r>
      <w:r w:rsidRPr="00874A27">
        <w:rPr>
          <w:rFonts w:ascii="Arial" w:eastAsia="Times New Roman" w:hAnsi="Arial" w:cs="Arial"/>
          <w:color w:val="000000"/>
          <w:sz w:val="19"/>
          <w:szCs w:val="19"/>
          <w:lang w:eastAsia="fr-FR"/>
        </w:rPr>
        <w:br/>
        <w:t>« Art. L. 543-2. - Afin de prendre en compte les coûts de maîtrise d'ouvrage et d'accompagnement social supportés par les services de l'Etat, des communes ou de leurs groupements à raison des travaux et mesures prescrits par les arrêtés, mises en demeure ou injonctions pris en application des articles </w:t>
      </w:r>
      <w:hyperlink r:id="rId383" w:history="1">
        <w:r w:rsidRPr="00874A27">
          <w:rPr>
            <w:rFonts w:ascii="Arial" w:eastAsia="Times New Roman" w:hAnsi="Arial" w:cs="Arial"/>
            <w:color w:val="336699"/>
            <w:sz w:val="19"/>
            <w:szCs w:val="19"/>
            <w:u w:val="single"/>
            <w:lang w:eastAsia="fr-FR"/>
          </w:rPr>
          <w:t>L. 1311-4</w:t>
        </w:r>
      </w:hyperlink>
      <w:r w:rsidRPr="00874A27">
        <w:rPr>
          <w:rFonts w:ascii="Arial" w:eastAsia="Times New Roman" w:hAnsi="Arial" w:cs="Arial"/>
          <w:color w:val="000000"/>
          <w:sz w:val="19"/>
          <w:szCs w:val="19"/>
          <w:lang w:eastAsia="fr-FR"/>
        </w:rPr>
        <w:t>, </w:t>
      </w:r>
      <w:hyperlink r:id="rId384" w:history="1">
        <w:r w:rsidRPr="00874A27">
          <w:rPr>
            <w:rFonts w:ascii="Arial" w:eastAsia="Times New Roman" w:hAnsi="Arial" w:cs="Arial"/>
            <w:color w:val="336699"/>
            <w:sz w:val="19"/>
            <w:szCs w:val="19"/>
            <w:u w:val="single"/>
            <w:lang w:eastAsia="fr-FR"/>
          </w:rPr>
          <w:t>L. 1331-24</w:t>
        </w:r>
      </w:hyperlink>
      <w:r w:rsidRPr="00874A27">
        <w:rPr>
          <w:rFonts w:ascii="Arial" w:eastAsia="Times New Roman" w:hAnsi="Arial" w:cs="Arial"/>
          <w:color w:val="000000"/>
          <w:sz w:val="19"/>
          <w:szCs w:val="19"/>
          <w:lang w:eastAsia="fr-FR"/>
        </w:rPr>
        <w:t>, </w:t>
      </w:r>
      <w:hyperlink r:id="rId385" w:history="1">
        <w:r w:rsidRPr="00874A27">
          <w:rPr>
            <w:rFonts w:ascii="Arial" w:eastAsia="Times New Roman" w:hAnsi="Arial" w:cs="Arial"/>
            <w:color w:val="336699"/>
            <w:sz w:val="19"/>
            <w:szCs w:val="19"/>
            <w:u w:val="single"/>
            <w:lang w:eastAsia="fr-FR"/>
          </w:rPr>
          <w:t>L. 1331-26</w:t>
        </w:r>
      </w:hyperlink>
      <w:r w:rsidRPr="00874A27">
        <w:rPr>
          <w:rFonts w:ascii="Arial" w:eastAsia="Times New Roman" w:hAnsi="Arial" w:cs="Arial"/>
          <w:color w:val="000000"/>
          <w:sz w:val="19"/>
          <w:szCs w:val="19"/>
          <w:lang w:eastAsia="fr-FR"/>
        </w:rPr>
        <w:t> et </w:t>
      </w:r>
      <w:hyperlink r:id="rId386" w:history="1">
        <w:r w:rsidRPr="00874A27">
          <w:rPr>
            <w:rFonts w:ascii="Arial" w:eastAsia="Times New Roman" w:hAnsi="Arial" w:cs="Arial"/>
            <w:color w:val="336699"/>
            <w:sz w:val="19"/>
            <w:szCs w:val="19"/>
            <w:u w:val="single"/>
            <w:lang w:eastAsia="fr-FR"/>
          </w:rPr>
          <w:t>L. 1331-26-1</w:t>
        </w:r>
      </w:hyperlink>
      <w:r w:rsidRPr="00874A27">
        <w:rPr>
          <w:rFonts w:ascii="Arial" w:eastAsia="Times New Roman" w:hAnsi="Arial" w:cs="Arial"/>
          <w:color w:val="000000"/>
          <w:sz w:val="19"/>
          <w:szCs w:val="19"/>
          <w:lang w:eastAsia="fr-FR"/>
        </w:rPr>
        <w:t>, </w:t>
      </w:r>
      <w:hyperlink r:id="rId387" w:history="1">
        <w:r w:rsidRPr="00874A27">
          <w:rPr>
            <w:rFonts w:ascii="Arial" w:eastAsia="Times New Roman" w:hAnsi="Arial" w:cs="Arial"/>
            <w:color w:val="336699"/>
            <w:sz w:val="19"/>
            <w:szCs w:val="19"/>
            <w:u w:val="single"/>
            <w:lang w:eastAsia="fr-FR"/>
          </w:rPr>
          <w:t>L. 1334-2</w:t>
        </w:r>
      </w:hyperlink>
      <w:r w:rsidRPr="00874A27">
        <w:rPr>
          <w:rFonts w:ascii="Arial" w:eastAsia="Times New Roman" w:hAnsi="Arial" w:cs="Arial"/>
          <w:color w:val="000000"/>
          <w:sz w:val="19"/>
          <w:szCs w:val="19"/>
          <w:lang w:eastAsia="fr-FR"/>
        </w:rPr>
        <w:t>, </w:t>
      </w:r>
      <w:hyperlink r:id="rId388" w:history="1">
        <w:r w:rsidRPr="00874A27">
          <w:rPr>
            <w:rFonts w:ascii="Arial" w:eastAsia="Times New Roman" w:hAnsi="Arial" w:cs="Arial"/>
            <w:color w:val="336699"/>
            <w:sz w:val="19"/>
            <w:szCs w:val="19"/>
            <w:u w:val="single"/>
            <w:lang w:eastAsia="fr-FR"/>
          </w:rPr>
          <w:t>L. 1334-16</w:t>
        </w:r>
      </w:hyperlink>
      <w:r w:rsidRPr="00874A27">
        <w:rPr>
          <w:rFonts w:ascii="Arial" w:eastAsia="Times New Roman" w:hAnsi="Arial" w:cs="Arial"/>
          <w:color w:val="000000"/>
          <w:sz w:val="19"/>
          <w:szCs w:val="19"/>
          <w:lang w:eastAsia="fr-FR"/>
        </w:rPr>
        <w:t> du code de la santé publique et L. 123-3, L. 129-2, L. 129-3, L. 129-4-1, L. 511-2 et L. 511-3 du présent code, le recouvrement des dépenses engagées aux frais des propriétaires défaillants comporte, outre le montant des dépenses recouvrables prévues à ces mêmes articles, un montant forfaitaire de 8 % de ces dépenses.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4" w:name="JORFARTI000028774042"/>
      <w:bookmarkEnd w:id="84"/>
      <w:r w:rsidRPr="00874A27">
        <w:rPr>
          <w:rFonts w:ascii="Arial" w:eastAsia="Times New Roman" w:hAnsi="Arial" w:cs="Arial"/>
          <w:b/>
          <w:bCs/>
          <w:color w:val="000000"/>
          <w:sz w:val="23"/>
          <w:szCs w:val="23"/>
          <w:lang w:eastAsia="fr-FR"/>
        </w:rPr>
        <w:t>Article 85 </w:t>
      </w:r>
      <w:hyperlink r:id="rId389" w:tooltip="En savoir plus sur l'article 8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I.-Le code de la sécurité sociale est ainsi modifié :</w:t>
      </w:r>
      <w:r w:rsidRPr="00874A27">
        <w:rPr>
          <w:rFonts w:ascii="Arial" w:eastAsia="Times New Roman" w:hAnsi="Arial" w:cs="Arial"/>
          <w:color w:val="000000"/>
          <w:sz w:val="19"/>
          <w:szCs w:val="19"/>
          <w:lang w:eastAsia="fr-FR"/>
        </w:rPr>
        <w:br/>
        <w:t>1° L'article L. 542-2 est ainsi modifié :</w:t>
      </w:r>
      <w:r w:rsidRPr="00874A27">
        <w:rPr>
          <w:rFonts w:ascii="Arial" w:eastAsia="Times New Roman" w:hAnsi="Arial" w:cs="Arial"/>
          <w:color w:val="000000"/>
          <w:sz w:val="19"/>
          <w:szCs w:val="19"/>
          <w:lang w:eastAsia="fr-FR"/>
        </w:rPr>
        <w:br/>
        <w:t>a) Au début du premier alinéa, est ajoutée la mention : « I. ― » ;</w:t>
      </w:r>
      <w:r w:rsidRPr="00874A27">
        <w:rPr>
          <w:rFonts w:ascii="Arial" w:eastAsia="Times New Roman" w:hAnsi="Arial" w:cs="Arial"/>
          <w:color w:val="000000"/>
          <w:sz w:val="19"/>
          <w:szCs w:val="19"/>
          <w:lang w:eastAsia="fr-FR"/>
        </w:rPr>
        <w:br/>
        <w:t>b) Après le mot : « locatifs », la fin du 2° est supprimée ;</w:t>
      </w:r>
      <w:r w:rsidRPr="00874A27">
        <w:rPr>
          <w:rFonts w:ascii="Arial" w:eastAsia="Times New Roman" w:hAnsi="Arial" w:cs="Arial"/>
          <w:color w:val="000000"/>
          <w:sz w:val="19"/>
          <w:szCs w:val="19"/>
          <w:lang w:eastAsia="fr-FR"/>
        </w:rPr>
        <w:br/>
        <w:t>c) Après le 2°, sont insérés un 3° et des II à VI ainsi rédigés :</w:t>
      </w:r>
      <w:r w:rsidRPr="00874A27">
        <w:rPr>
          <w:rFonts w:ascii="Arial" w:eastAsia="Times New Roman" w:hAnsi="Arial" w:cs="Arial"/>
          <w:color w:val="000000"/>
          <w:sz w:val="19"/>
          <w:szCs w:val="19"/>
          <w:lang w:eastAsia="fr-FR"/>
        </w:rPr>
        <w:br/>
        <w:t>« 3° Habitant un logement répondant à des conditions de peuplement fixées par voie réglementaire.</w:t>
      </w:r>
      <w:r w:rsidRPr="00874A27">
        <w:rPr>
          <w:rFonts w:ascii="Arial" w:eastAsia="Times New Roman" w:hAnsi="Arial" w:cs="Arial"/>
          <w:color w:val="000000"/>
          <w:sz w:val="19"/>
          <w:szCs w:val="19"/>
          <w:lang w:eastAsia="fr-FR"/>
        </w:rPr>
        <w:br/>
        <w:t xml:space="preserve">« II. ― Lorsque le logement ne satisfait pas aux caractéristiques imposées au 2° du I du présent article et que l'organisme payeur ou un organisme dûment habilité par ce dernier a constaté que le logement ne constitue donc pas un logement décent, au sens des deux premiers alinéas de l'article 6 de la loi n° 89-462 du 6 juillet 1989 précitée, l'allocation de logement n'est pas versée au locataire ou au propriétaire mais est conservée par l'organisme payeur pendant un délai maximal de dix-huit mois. L'organisme payeur notifie au propriétaire le constat établissant que le logement ne remplit pas les conditions requises pour être qualifié de logement décent et l'informe qu'il doit mettre celui-ci en conformité dans le délai maximal précité pour que l'allocation de logement conservée lui soit versée. Durant ce délai, le locataire s'acquitte du montant du loyer et des charges récupérables, diminué du montant des allocations de logement dont il aura été informé par l'organisme payeur, sans que cette </w:t>
      </w:r>
      <w:r w:rsidRPr="00874A27">
        <w:rPr>
          <w:rFonts w:ascii="Arial" w:eastAsia="Times New Roman" w:hAnsi="Arial" w:cs="Arial"/>
          <w:color w:val="000000"/>
          <w:sz w:val="19"/>
          <w:szCs w:val="19"/>
          <w:lang w:eastAsia="fr-FR"/>
        </w:rPr>
        <w:lastRenderedPageBreak/>
        <w:t>diminution puisse fonder une action du bailleur à l'encontre du locataire pour obtenir la résiliation du bail.</w:t>
      </w:r>
      <w:r w:rsidRPr="00874A27">
        <w:rPr>
          <w:rFonts w:ascii="Arial" w:eastAsia="Times New Roman" w:hAnsi="Arial" w:cs="Arial"/>
          <w:color w:val="000000"/>
          <w:sz w:val="19"/>
          <w:szCs w:val="19"/>
          <w:lang w:eastAsia="fr-FR"/>
        </w:rPr>
        <w:br/>
        <w:t>« Pour l'application de l'article 20-1 de la loi n° 89-462 du 6 juillet 1989 précitée, l'information du bailleur, par l'organisme payeur, sur son obligation de mise en conformité du logement, dont le locataire est également destinataire, tient lieu de demande de mise en conformité par le locataire dans le cas où ce dernier saisit la commission départementale de conciliation. L'information du locataire reproduit les dispositions de ce même article et précise l'adresse de la commission départementale de conciliation. Dès que le constat de mise en conformité du logement est établi par l'organisme payeur ou par un organisme dûment habilité par ce dernier, le montant de l'allocation de logement conservée par l'organisme payeur est versé au propriétaire.</w:t>
      </w:r>
      <w:r w:rsidRPr="00874A27">
        <w:rPr>
          <w:rFonts w:ascii="Arial" w:eastAsia="Times New Roman" w:hAnsi="Arial" w:cs="Arial"/>
          <w:color w:val="000000"/>
          <w:sz w:val="19"/>
          <w:szCs w:val="19"/>
          <w:lang w:eastAsia="fr-FR"/>
        </w:rPr>
        <w:br/>
        <w:t>« L'organisme payeur informe le bailleur de l'existence d'aides publiques et des lieux d'information pour réaliser les travaux de mise en conformité du logement.</w:t>
      </w:r>
      <w:r w:rsidRPr="00874A27">
        <w:rPr>
          <w:rFonts w:ascii="Arial" w:eastAsia="Times New Roman" w:hAnsi="Arial" w:cs="Arial"/>
          <w:color w:val="000000"/>
          <w:sz w:val="19"/>
          <w:szCs w:val="19"/>
          <w:lang w:eastAsia="fr-FR"/>
        </w:rPr>
        <w:br/>
        <w:t>« III. ― Si le logement ne répond toujours pas aux caractéristiques mentionnées au 2° du I du présent article à l'issue du délai de mise en conformité prévu au premier alinéa du II :</w:t>
      </w:r>
      <w:r w:rsidRPr="00874A27">
        <w:rPr>
          <w:rFonts w:ascii="Arial" w:eastAsia="Times New Roman" w:hAnsi="Arial" w:cs="Arial"/>
          <w:color w:val="000000"/>
          <w:sz w:val="19"/>
          <w:szCs w:val="19"/>
          <w:lang w:eastAsia="fr-FR"/>
        </w:rPr>
        <w:br/>
        <w:t>« 1° Le bénéfice de l'allocation de logement conservée jusqu'à cette date par l'organisme payeur au titre de la période durant laquelle il a été fait application du premier alinéa du II est définitivement perdu. Le propriétaire ne peut demander au locataire le paiement de la part de loyer non perçue correspondant au montant de l'allocation conservée ;</w:t>
      </w:r>
      <w:r w:rsidRPr="00874A27">
        <w:rPr>
          <w:rFonts w:ascii="Arial" w:eastAsia="Times New Roman" w:hAnsi="Arial" w:cs="Arial"/>
          <w:color w:val="000000"/>
          <w:sz w:val="19"/>
          <w:szCs w:val="19"/>
          <w:lang w:eastAsia="fr-FR"/>
        </w:rPr>
        <w:br/>
        <w:t>« 2° L'allocation de logement, le cas échéant recalculée dans le cas où un nouveau loyer est fixé par le juge, peut, à titre exceptionnel, dans des cas fixés par décret, en vue de permettre l'achèvement d'une mise en conformité engagée, de prendre en compte l'action du locataire pour rendre son logement décent par la voie judiciaire ou de prévenir des difficultés de paiement du loyer ou de relogement du locataire, être maintenue par décision de l'organisme payeur et conservée par ce dernier pour une durée de six mois, renouvelable une fois. Durant ce délai, le locataire s'acquitte du montant du loyer et des charges récupérables, diminué du montant des allocations de logement dont il aura été informé par l'organisme payeur sans que cette diminution puisse fonder une action du bailleur à l'encontre du locataire pour obtenir la résiliation du bail.</w:t>
      </w:r>
      <w:r w:rsidRPr="00874A27">
        <w:rPr>
          <w:rFonts w:ascii="Arial" w:eastAsia="Times New Roman" w:hAnsi="Arial" w:cs="Arial"/>
          <w:color w:val="000000"/>
          <w:sz w:val="19"/>
          <w:szCs w:val="19"/>
          <w:lang w:eastAsia="fr-FR"/>
        </w:rPr>
        <w:br/>
        <w:t>« Dès que le constat de mise en conformité du logement est établi, le montant de l'allocation de logement conservée par l'organisme payeur est versé au propriétaire. Si le logement ne répond toujours pas aux caractéristiques mentionnées au 2° du I du présent article à l'issue de ce délai, le bénéfice de l'allocation de logement conservée par l'organisme payeur au titre de la période durant laquelle il a été fait application du 2° du présent III est définitivement perdu. Le propriétaire ne peut demander au locataire le paiement de la part de loyer non perçue correspondant au montant de l'allocation conservée.</w:t>
      </w:r>
      <w:r w:rsidRPr="00874A27">
        <w:rPr>
          <w:rFonts w:ascii="Arial" w:eastAsia="Times New Roman" w:hAnsi="Arial" w:cs="Arial"/>
          <w:color w:val="000000"/>
          <w:sz w:val="19"/>
          <w:szCs w:val="19"/>
          <w:lang w:eastAsia="fr-FR"/>
        </w:rPr>
        <w:br/>
        <w:t>« IV. ― A chaque changement de locataire, s'il est de nouveau constaté que le logement n'est pas conforme aux caractéristiques mentionnées au 2° du I du présent article, l'allocation de logement n'est pas versée au nouveau locataire ou au propriétaire mais est conservée par l'organisme payeur pour une durée de six mois, éventuellement prolongée par décision de cet organisme, à titre exceptionnel, dans les cas définis par le décret mentionné au 2° du III, pour une durée de six mois. Durant ce délai, le locataire s'acquitte du montant du loyer et des charges récupérables, diminué du montant des allocations de logement dont il aura été informé par l'organisme payeur sans que cette diminution puisse fonder une action du bailleur à l'encontre du locataire pour obtenir la résiliation du bail.</w:t>
      </w:r>
      <w:r w:rsidRPr="00874A27">
        <w:rPr>
          <w:rFonts w:ascii="Arial" w:eastAsia="Times New Roman" w:hAnsi="Arial" w:cs="Arial"/>
          <w:color w:val="000000"/>
          <w:sz w:val="19"/>
          <w:szCs w:val="19"/>
          <w:lang w:eastAsia="fr-FR"/>
        </w:rPr>
        <w:br/>
        <w:t>« Dès que le constat de mise en conformité du logement est établi ou si le logement ne répond toujours pas aux caractéristiques mentionnées au 2° du I du présent article à l'issue de ce délai, il est procédé conformément au dernier alinéa du III.</w:t>
      </w:r>
      <w:r w:rsidRPr="00874A27">
        <w:rPr>
          <w:rFonts w:ascii="Arial" w:eastAsia="Times New Roman" w:hAnsi="Arial" w:cs="Arial"/>
          <w:color w:val="000000"/>
          <w:sz w:val="19"/>
          <w:szCs w:val="19"/>
          <w:lang w:eastAsia="fr-FR"/>
        </w:rPr>
        <w:br/>
        <w:t>« V. ― Lorsque le montant de l'allocation de logement conservée par l'organisme payeur en application des II à IV est versé au propriétaire après que le constat de mise en conformité du logement a été établi, le propriétaire verse, le cas échéant, au locataire la part de l'allocation de logement conservée qui excède le montant du loyer et des charges récupérables.</w:t>
      </w:r>
      <w:r w:rsidRPr="00874A27">
        <w:rPr>
          <w:rFonts w:ascii="Arial" w:eastAsia="Times New Roman" w:hAnsi="Arial" w:cs="Arial"/>
          <w:color w:val="000000"/>
          <w:sz w:val="19"/>
          <w:szCs w:val="19"/>
          <w:lang w:eastAsia="fr-FR"/>
        </w:rPr>
        <w:br/>
        <w:t>« VI. ― Outre les cas mentionnés aux II à IV, l'allocation de logement peut être accordée à titre dérogatoire et pendant une durée déterminée, dans des conditions fixées par décret. » ;</w:t>
      </w:r>
      <w:r w:rsidRPr="00874A27">
        <w:rPr>
          <w:rFonts w:ascii="Arial" w:eastAsia="Times New Roman" w:hAnsi="Arial" w:cs="Arial"/>
          <w:color w:val="000000"/>
          <w:sz w:val="19"/>
          <w:szCs w:val="19"/>
          <w:lang w:eastAsia="fr-FR"/>
        </w:rPr>
        <w:br/>
        <w:t>d) Au début du quatrième alinéa, est ajoutée la mention : « VII. ― » ;</w:t>
      </w:r>
      <w:r w:rsidRPr="00874A27">
        <w:rPr>
          <w:rFonts w:ascii="Arial" w:eastAsia="Times New Roman" w:hAnsi="Arial" w:cs="Arial"/>
          <w:color w:val="000000"/>
          <w:sz w:val="19"/>
          <w:szCs w:val="19"/>
          <w:lang w:eastAsia="fr-FR"/>
        </w:rPr>
        <w:br/>
        <w:t>e) Au début du dernier alinéa, est ajoutée la mention : « VIII. ― » ;</w:t>
      </w:r>
      <w:r w:rsidRPr="00874A27">
        <w:rPr>
          <w:rFonts w:ascii="Arial" w:eastAsia="Times New Roman" w:hAnsi="Arial" w:cs="Arial"/>
          <w:color w:val="000000"/>
          <w:sz w:val="19"/>
          <w:szCs w:val="19"/>
          <w:lang w:eastAsia="fr-FR"/>
        </w:rPr>
        <w:br/>
        <w:t>2° A la première phrase du premier alinéa de l'article L. 542-6 et du dernier alinéa du II de l'article L. 553-4, la référence : « au 2° » est remplacée par la référence : « aux 2° et 3° du I » ;</w:t>
      </w:r>
      <w:r w:rsidRPr="00874A27">
        <w:rPr>
          <w:rFonts w:ascii="Arial" w:eastAsia="Times New Roman" w:hAnsi="Arial" w:cs="Arial"/>
          <w:color w:val="000000"/>
          <w:sz w:val="19"/>
          <w:szCs w:val="19"/>
          <w:lang w:eastAsia="fr-FR"/>
        </w:rPr>
        <w:br/>
        <w:t>3° Le dernier alinéa du II du même article L. 553-4 est ainsi modifié :</w:t>
      </w:r>
      <w:r w:rsidRPr="00874A27">
        <w:rPr>
          <w:rFonts w:ascii="Arial" w:eastAsia="Times New Roman" w:hAnsi="Arial" w:cs="Arial"/>
          <w:color w:val="000000"/>
          <w:sz w:val="19"/>
          <w:szCs w:val="19"/>
          <w:lang w:eastAsia="fr-FR"/>
        </w:rPr>
        <w:br/>
        <w:t>a) A la deuxième phrase, après le mot : « sociaux », sont insérés les mots : «, un organisme agréé exerçant des activités de maîtrise d'ouvrage définies au 1° de l'article L. 365-1 du code de la construction et de l'habitation » et les mots : « l'établissement public de gestion immobilière du Nord-Pas-de-Calais » sont remplacés par les mots : « la société de gestion du patrimoine immobilier des houillères du Nord et du Pas-de-Calais » ;</w:t>
      </w:r>
      <w:r w:rsidRPr="00874A27">
        <w:rPr>
          <w:rFonts w:ascii="Arial" w:eastAsia="Times New Roman" w:hAnsi="Arial" w:cs="Arial"/>
          <w:color w:val="000000"/>
          <w:sz w:val="19"/>
          <w:szCs w:val="19"/>
          <w:lang w:eastAsia="fr-FR"/>
        </w:rPr>
        <w:br/>
        <w:t>b) Est ajoutée une phrase ainsi rédigée :</w:t>
      </w:r>
      <w:r w:rsidRPr="00874A27">
        <w:rPr>
          <w:rFonts w:ascii="Arial" w:eastAsia="Times New Roman" w:hAnsi="Arial" w:cs="Arial"/>
          <w:color w:val="000000"/>
          <w:sz w:val="19"/>
          <w:szCs w:val="19"/>
          <w:lang w:eastAsia="fr-FR"/>
        </w:rPr>
        <w:br/>
        <w:t xml:space="preserve">« La transmission de cette convention à l'organisme payeur vaut constat de mise en conformité du </w:t>
      </w:r>
      <w:r w:rsidRPr="00874A27">
        <w:rPr>
          <w:rFonts w:ascii="Arial" w:eastAsia="Times New Roman" w:hAnsi="Arial" w:cs="Arial"/>
          <w:color w:val="000000"/>
          <w:sz w:val="19"/>
          <w:szCs w:val="19"/>
          <w:lang w:eastAsia="fr-FR"/>
        </w:rPr>
        <w:lastRenderedPageBreak/>
        <w:t>logement pour l'application des II à V de l'article L. 542-2. » ;</w:t>
      </w:r>
      <w:r w:rsidRPr="00874A27">
        <w:rPr>
          <w:rFonts w:ascii="Arial" w:eastAsia="Times New Roman" w:hAnsi="Arial" w:cs="Arial"/>
          <w:color w:val="000000"/>
          <w:sz w:val="19"/>
          <w:szCs w:val="19"/>
          <w:lang w:eastAsia="fr-FR"/>
        </w:rPr>
        <w:br/>
        <w:t>4° Au début de la seconde phrase de l'article L. 542-7-1, après le mot : « Sauf », sont insérés les mots : « dans le cas mentionné aux II à V de l'article L. 542-2, » ;</w:t>
      </w:r>
      <w:r w:rsidRPr="00874A27">
        <w:rPr>
          <w:rFonts w:ascii="Arial" w:eastAsia="Times New Roman" w:hAnsi="Arial" w:cs="Arial"/>
          <w:color w:val="000000"/>
          <w:sz w:val="19"/>
          <w:szCs w:val="19"/>
          <w:lang w:eastAsia="fr-FR"/>
        </w:rPr>
        <w:br/>
        <w:t>5° L'article L. 831-3 est ainsi modifié :</w:t>
      </w:r>
      <w:r w:rsidRPr="00874A27">
        <w:rPr>
          <w:rFonts w:ascii="Arial" w:eastAsia="Times New Roman" w:hAnsi="Arial" w:cs="Arial"/>
          <w:color w:val="000000"/>
          <w:sz w:val="19"/>
          <w:szCs w:val="19"/>
          <w:lang w:eastAsia="fr-FR"/>
        </w:rPr>
        <w:br/>
        <w:t>a) La première phrase du premier alinéa est remplacée par un I ainsi rédigé :</w:t>
      </w:r>
      <w:r w:rsidRPr="00874A27">
        <w:rPr>
          <w:rFonts w:ascii="Arial" w:eastAsia="Times New Roman" w:hAnsi="Arial" w:cs="Arial"/>
          <w:color w:val="000000"/>
          <w:sz w:val="19"/>
          <w:szCs w:val="19"/>
          <w:lang w:eastAsia="fr-FR"/>
        </w:rPr>
        <w:br/>
        <w:t>« I. ― Le versement de l'allocation de logement est soumis :</w:t>
      </w:r>
      <w:r w:rsidRPr="00874A27">
        <w:rPr>
          <w:rFonts w:ascii="Arial" w:eastAsia="Times New Roman" w:hAnsi="Arial" w:cs="Arial"/>
          <w:color w:val="000000"/>
          <w:sz w:val="19"/>
          <w:szCs w:val="19"/>
          <w:lang w:eastAsia="fr-FR"/>
        </w:rPr>
        <w:br/>
        <w:t>« 1° Aux dispositions des deux </w:t>
      </w:r>
      <w:hyperlink r:id="rId390" w:history="1">
        <w:r w:rsidRPr="00874A27">
          <w:rPr>
            <w:rFonts w:ascii="Arial" w:eastAsia="Times New Roman" w:hAnsi="Arial" w:cs="Arial"/>
            <w:color w:val="336699"/>
            <w:sz w:val="19"/>
            <w:szCs w:val="19"/>
            <w:u w:val="single"/>
            <w:lang w:eastAsia="fr-FR"/>
          </w:rPr>
          <w:t>premiers alinéas de l'article 6 de la loi n° 89-462 du 6 juillet 1989 </w:t>
        </w:r>
      </w:hyperlink>
      <w:r w:rsidRPr="00874A27">
        <w:rPr>
          <w:rFonts w:ascii="Arial" w:eastAsia="Times New Roman" w:hAnsi="Arial" w:cs="Arial"/>
          <w:color w:val="000000"/>
          <w:sz w:val="19"/>
          <w:szCs w:val="19"/>
          <w:lang w:eastAsia="fr-FR"/>
        </w:rPr>
        <w:t>tendant à améliorer les rapports locatifs et portant modification de la </w:t>
      </w:r>
      <w:hyperlink r:id="rId391"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relatives à l'obligation pour le bailleur de remettre au locataire un logement décent présentant les caractéristiques correspondantes ;</w:t>
      </w:r>
      <w:r w:rsidRPr="00874A27">
        <w:rPr>
          <w:rFonts w:ascii="Arial" w:eastAsia="Times New Roman" w:hAnsi="Arial" w:cs="Arial"/>
          <w:color w:val="000000"/>
          <w:sz w:val="19"/>
          <w:szCs w:val="19"/>
          <w:lang w:eastAsia="fr-FR"/>
        </w:rPr>
        <w:br/>
        <w:t>« 2° A des conditions de peuplement définies par voie réglementaire. » ;</w:t>
      </w:r>
      <w:r w:rsidRPr="00874A27">
        <w:rPr>
          <w:rFonts w:ascii="Arial" w:eastAsia="Times New Roman" w:hAnsi="Arial" w:cs="Arial"/>
          <w:color w:val="000000"/>
          <w:sz w:val="19"/>
          <w:szCs w:val="19"/>
          <w:lang w:eastAsia="fr-FR"/>
        </w:rPr>
        <w:br/>
        <w:t>b) Les deux dernières phrases du premier alinéa sont supprimées ;</w:t>
      </w:r>
      <w:r w:rsidRPr="00874A27">
        <w:rPr>
          <w:rFonts w:ascii="Arial" w:eastAsia="Times New Roman" w:hAnsi="Arial" w:cs="Arial"/>
          <w:color w:val="000000"/>
          <w:sz w:val="19"/>
          <w:szCs w:val="19"/>
          <w:lang w:eastAsia="fr-FR"/>
        </w:rPr>
        <w:br/>
        <w:t>c) Après le premier alinéa, sont insérés des II à VI ainsi rédigés :</w:t>
      </w:r>
      <w:r w:rsidRPr="00874A27">
        <w:rPr>
          <w:rFonts w:ascii="Arial" w:eastAsia="Times New Roman" w:hAnsi="Arial" w:cs="Arial"/>
          <w:color w:val="000000"/>
          <w:sz w:val="19"/>
          <w:szCs w:val="19"/>
          <w:lang w:eastAsia="fr-FR"/>
        </w:rPr>
        <w:br/>
        <w:t>« II. ― Lorsque le logement ne satisfait pas aux caractéristiques imposées au 1° du I et que l'organisme payeur ou un organisme dûment habilité par ce dernier a constaté que le logement ne constitue donc pas un logement décent au sens de l'article 6 de la loi n° 89-462 du 6 juillet 1989 précitée, l'allocation de logement n'est pas versée au locataire ou au propriétaire mais est conservée par l'organisme payeur pendant un délai maximal de dix-huit mois. L'organisme payeur notifie au propriétaire le constat établissant que le logement ne remplit pas les conditions requises pour être qualifié de logement décent et l'informe qu'il doit mettre celui-ci en conformité dans le délai maximal précité pour que l'allocation de logement conservée lui soit versée. Durant ce délai, le locataire s'acquitte du montant du loyer et des charges récupérables, diminué du montant des allocations de logement dont il aura été informé par l'organisme payeur, sans que cette diminution puisse fonder une action du bailleur à l'encontre du locataire pour obtenir la résiliation du bail.</w:t>
      </w:r>
      <w:r w:rsidRPr="00874A27">
        <w:rPr>
          <w:rFonts w:ascii="Arial" w:eastAsia="Times New Roman" w:hAnsi="Arial" w:cs="Arial"/>
          <w:color w:val="000000"/>
          <w:sz w:val="19"/>
          <w:szCs w:val="19"/>
          <w:lang w:eastAsia="fr-FR"/>
        </w:rPr>
        <w:br/>
        <w:t>« Pour l'application de l'article 20-1 de la loi n° 89-462 du 6 juillet 1989 précitée, l'information du bailleur, par l'organisme payeur, sur son obligation de mise en conformité du logement, dont le locataire est également destinataire, tient lieu de demande de mise en conformité par le locataire dans le cas où ce dernier saisit la commission départementale de conciliation. L'information du locataire reproduit les dispositions de ce même article et précise l'adresse de la commission départementale de conciliation. Dès que le constat de mise en conformité du logement est établi par l'organisme payeur ou par un organisme dûment habilité par ce dernier, le montant de l'allocation de logement conservée par l'organisme payeur est versé au propriétaire.</w:t>
      </w:r>
      <w:r w:rsidRPr="00874A27">
        <w:rPr>
          <w:rFonts w:ascii="Arial" w:eastAsia="Times New Roman" w:hAnsi="Arial" w:cs="Arial"/>
          <w:color w:val="000000"/>
          <w:sz w:val="19"/>
          <w:szCs w:val="19"/>
          <w:lang w:eastAsia="fr-FR"/>
        </w:rPr>
        <w:br/>
        <w:t>« L'organisme payeur informe le bailleur de l'existence d'aides publiques et des lieux d'information possibles pour réaliser les travaux de mise en conformité du logement.</w:t>
      </w:r>
      <w:r w:rsidRPr="00874A27">
        <w:rPr>
          <w:rFonts w:ascii="Arial" w:eastAsia="Times New Roman" w:hAnsi="Arial" w:cs="Arial"/>
          <w:color w:val="000000"/>
          <w:sz w:val="19"/>
          <w:szCs w:val="19"/>
          <w:lang w:eastAsia="fr-FR"/>
        </w:rPr>
        <w:br/>
        <w:t>« III. ― Si le logement ne répond toujours pas aux caractéristiques mentionnées au 1° du I du présent article à l'issue du délai de mise en conformité mentionné au premier alinéa du II :</w:t>
      </w:r>
      <w:r w:rsidRPr="00874A27">
        <w:rPr>
          <w:rFonts w:ascii="Arial" w:eastAsia="Times New Roman" w:hAnsi="Arial" w:cs="Arial"/>
          <w:color w:val="000000"/>
          <w:sz w:val="19"/>
          <w:szCs w:val="19"/>
          <w:lang w:eastAsia="fr-FR"/>
        </w:rPr>
        <w:br/>
        <w:t>« 1° Le bénéfice de l'allocation de logement conservée par l'organisme payeur au titre de la période durant laquelle il a été fait application du premier alinéa du II est définitivement perdu. Le propriétaire ne peut demander au locataire le paiement de la part de loyer non perçue correspondant au montant de l'allocation conservée ;</w:t>
      </w:r>
      <w:r w:rsidRPr="00874A27">
        <w:rPr>
          <w:rFonts w:ascii="Arial" w:eastAsia="Times New Roman" w:hAnsi="Arial" w:cs="Arial"/>
          <w:color w:val="000000"/>
          <w:sz w:val="19"/>
          <w:szCs w:val="19"/>
          <w:lang w:eastAsia="fr-FR"/>
        </w:rPr>
        <w:br/>
        <w:t>« 2° L'allocation de logement, le cas échéant recalculée dans le cas où un nouveau loyer est fixé par le juge, peut, à titre exceptionnel, dans des cas fixés par décret, en vue de permettre l'achèvement d'une mise en conformité engagée, de prendre en compte l'action du locataire pour rendre son logement décent par la voie judiciaire ou de prévenir des difficultés de paiement du loyer ou de relogement du locataire, être maintenue par décision de l'organisme payeur et conservée par ce dernier, pour une durée de six mois renouvelable une fois. Durant ce délai, le locataire s'acquitte du montant du loyer et des charges récupérables, diminué du montant des allocations de logement dont il aura été informé par l'organisme payeur sans que cette diminution puisse fonder une action du bailleur à l'encontre du locataire pour obtenir la résiliation du bail.</w:t>
      </w:r>
      <w:r w:rsidRPr="00874A27">
        <w:rPr>
          <w:rFonts w:ascii="Arial" w:eastAsia="Times New Roman" w:hAnsi="Arial" w:cs="Arial"/>
          <w:color w:val="000000"/>
          <w:sz w:val="19"/>
          <w:szCs w:val="19"/>
          <w:lang w:eastAsia="fr-FR"/>
        </w:rPr>
        <w:br/>
        <w:t>« Dès que le constat de mise en conformité du logement est établi, le montant de l'allocation de logement conservée par l'organisme payeur est versé au propriétaire. Si le logement ne répond toujours pas aux caractéristiques mentionnées au 1° du I du présent article à l'issue de ce délai, le bénéfice de l'allocation de logement conservée par l'organisme payeur au titre de la période durant laquelle il a été fait application du 2° du présent III est définitivement perdu. Le propriétaire ne peut demander au locataire le paiement de la part de loyer non perçue correspondant au montant de l'allocation conservée.</w:t>
      </w:r>
      <w:r w:rsidRPr="00874A27">
        <w:rPr>
          <w:rFonts w:ascii="Arial" w:eastAsia="Times New Roman" w:hAnsi="Arial" w:cs="Arial"/>
          <w:color w:val="000000"/>
          <w:sz w:val="19"/>
          <w:szCs w:val="19"/>
          <w:lang w:eastAsia="fr-FR"/>
        </w:rPr>
        <w:br/>
        <w:t>« IV. ― A chaque changement de locataire, s'il est de nouveau constaté que le logement n'est pas conforme aux caractéristiques mentionnées au 1° du I, l'allocation de logement n'est pas versée au nouveau locataire ou au propriétaire mais est conservée par l'organisme payeur pour une durée de six mois, éventuellement prolongée par décision de cet organisme, à titre exceptionnel, dans les cas définis par le décret mentionné au 2° du III, pour une durée de six mois. Durant ce délai, le locataire s'acquitte du montant du loyer et des charges récupérables, diminué du montant des allocations de logement dont il aura été informé par l'organisme payeur sans que cette diminution puisse fonder une action du bailleur à l'encontre du locataire pour obtenir la résiliation du bail.</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Dès que le constat de mise en conformité du logement est établi ou si le logement ne répond toujours pas aux caractéristiques mentionnées au 1° du I du présent article à l'issue de ce délai, il est procédé conformément au dernier alinéa du III.</w:t>
      </w:r>
      <w:r w:rsidRPr="00874A27">
        <w:rPr>
          <w:rFonts w:ascii="Arial" w:eastAsia="Times New Roman" w:hAnsi="Arial" w:cs="Arial"/>
          <w:color w:val="000000"/>
          <w:sz w:val="19"/>
          <w:szCs w:val="19"/>
          <w:lang w:eastAsia="fr-FR"/>
        </w:rPr>
        <w:br/>
        <w:t>« V. ― Lorsque le montant de l'allocation de logement conservée par l'organisme payeur en application des II à IV est versé au propriétaire après que le constat de mise en conformité du logement a été établi, le propriétaire verse, le cas échéant, au locataire la part de l'allocation de logement conservée qui excède le montant du loyer et des charges récupérables.</w:t>
      </w:r>
      <w:r w:rsidRPr="00874A27">
        <w:rPr>
          <w:rFonts w:ascii="Arial" w:eastAsia="Times New Roman" w:hAnsi="Arial" w:cs="Arial"/>
          <w:color w:val="000000"/>
          <w:sz w:val="19"/>
          <w:szCs w:val="19"/>
          <w:lang w:eastAsia="fr-FR"/>
        </w:rPr>
        <w:br/>
        <w:t>« VI. ― Outre les cas mentionnés aux II à IV, l'allocation de logement peut être accordée à titre dérogatoire et pendant une durée déterminée, dans des conditions fixées par décret. » ;</w:t>
      </w:r>
      <w:r w:rsidRPr="00874A27">
        <w:rPr>
          <w:rFonts w:ascii="Arial" w:eastAsia="Times New Roman" w:hAnsi="Arial" w:cs="Arial"/>
          <w:color w:val="000000"/>
          <w:sz w:val="19"/>
          <w:szCs w:val="19"/>
          <w:lang w:eastAsia="fr-FR"/>
        </w:rPr>
        <w:br/>
        <w:t>d) Le second alinéa est ainsi modifié :</w:t>
      </w:r>
      <w:r w:rsidRPr="00874A27">
        <w:rPr>
          <w:rFonts w:ascii="Arial" w:eastAsia="Times New Roman" w:hAnsi="Arial" w:cs="Arial"/>
          <w:color w:val="000000"/>
          <w:sz w:val="19"/>
          <w:szCs w:val="19"/>
          <w:lang w:eastAsia="fr-FR"/>
        </w:rPr>
        <w:br/>
        <w:t>― au début de l'alinéa, est ajoutée la mention : « VII. ― » ;</w:t>
      </w:r>
      <w:r w:rsidRPr="00874A27">
        <w:rPr>
          <w:rFonts w:ascii="Arial" w:eastAsia="Times New Roman" w:hAnsi="Arial" w:cs="Arial"/>
          <w:color w:val="000000"/>
          <w:sz w:val="19"/>
          <w:szCs w:val="19"/>
          <w:lang w:eastAsia="fr-FR"/>
        </w:rPr>
        <w:br/>
        <w:t>― la référence : « premier alinéa » est remplacée par la référence : « 1° du I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La transmission de cette preuve à l'organisme payeur vaut constat de mise en conformité du logement pour l'application des II à V. » ;</w:t>
      </w:r>
      <w:r w:rsidRPr="00874A27">
        <w:rPr>
          <w:rFonts w:ascii="Arial" w:eastAsia="Times New Roman" w:hAnsi="Arial" w:cs="Arial"/>
          <w:color w:val="000000"/>
          <w:sz w:val="19"/>
          <w:szCs w:val="19"/>
          <w:lang w:eastAsia="fr-FR"/>
        </w:rPr>
        <w:br/>
        <w:t>6° Au début de la seconde phrase de l'article L. 831-8, après le mot : « Sauf », sont insérés les mots : « dans le cas mentionné aux II à V de l'article L. 831-3, » ;</w:t>
      </w:r>
      <w:r w:rsidRPr="00874A27">
        <w:rPr>
          <w:rFonts w:ascii="Arial" w:eastAsia="Times New Roman" w:hAnsi="Arial" w:cs="Arial"/>
          <w:color w:val="000000"/>
          <w:sz w:val="19"/>
          <w:szCs w:val="19"/>
          <w:lang w:eastAsia="fr-FR"/>
        </w:rPr>
        <w:br/>
        <w:t>7° A la première phrase de l'avant-dernier alinéa des articles L. 831-7 et L. 835-2, la référence : « au premier alinéa » est remplacée par les références : « aux 1° et 2° du I » ;</w:t>
      </w:r>
      <w:r w:rsidRPr="00874A27">
        <w:rPr>
          <w:rFonts w:ascii="Arial" w:eastAsia="Times New Roman" w:hAnsi="Arial" w:cs="Arial"/>
          <w:color w:val="000000"/>
          <w:sz w:val="19"/>
          <w:szCs w:val="19"/>
          <w:lang w:eastAsia="fr-FR"/>
        </w:rPr>
        <w:br/>
        <w:t>8° L'avant-dernier alinéa de l'article L. 835-2 est ainsi modifié :</w:t>
      </w:r>
      <w:r w:rsidRPr="00874A27">
        <w:rPr>
          <w:rFonts w:ascii="Arial" w:eastAsia="Times New Roman" w:hAnsi="Arial" w:cs="Arial"/>
          <w:color w:val="000000"/>
          <w:sz w:val="19"/>
          <w:szCs w:val="19"/>
          <w:lang w:eastAsia="fr-FR"/>
        </w:rPr>
        <w:br/>
        <w:t>a) A la deuxième phrase, après le mot : « sociaux », sont insérés les mots : «, un organisme agréé exerçant des activités de maîtrise d'ouvrage définies au 1° de l'article L. 365-1 du code de la construction et de l'habitation » et les mots : « l'établissement public de gestion immobilière du Nord-Pas-de-Calais » sont remplacés par les mots : « la société de gestion du patrimoine immobilier des houillères du Nord et du Pas-de-Calais » ;</w:t>
      </w:r>
      <w:r w:rsidRPr="00874A27">
        <w:rPr>
          <w:rFonts w:ascii="Arial" w:eastAsia="Times New Roman" w:hAnsi="Arial" w:cs="Arial"/>
          <w:color w:val="000000"/>
          <w:sz w:val="19"/>
          <w:szCs w:val="19"/>
          <w:lang w:eastAsia="fr-FR"/>
        </w:rPr>
        <w:br/>
        <w:t>b) Est ajoutée une phrase ainsi rédigée :</w:t>
      </w:r>
      <w:r w:rsidRPr="00874A27">
        <w:rPr>
          <w:rFonts w:ascii="Arial" w:eastAsia="Times New Roman" w:hAnsi="Arial" w:cs="Arial"/>
          <w:color w:val="000000"/>
          <w:sz w:val="19"/>
          <w:szCs w:val="19"/>
          <w:lang w:eastAsia="fr-FR"/>
        </w:rPr>
        <w:br/>
        <w:t>« La transmission de cette convention à l'organisme payeur vaut constat de mise en conformité du logement pour l'application des II à V de l'article L. 831-3. »</w:t>
      </w:r>
      <w:r w:rsidRPr="00874A27">
        <w:rPr>
          <w:rFonts w:ascii="Arial" w:eastAsia="Times New Roman" w:hAnsi="Arial" w:cs="Arial"/>
          <w:color w:val="000000"/>
          <w:sz w:val="19"/>
          <w:szCs w:val="19"/>
          <w:lang w:eastAsia="fr-FR"/>
        </w:rPr>
        <w:br/>
        <w:t>II.-L'article 10 de l'ordonnance n° 2002-149 du 7 février 2002 relative à l'extension et la généralisation des prestations familiales et à la protection sociale dans la collectivité départementale de Mayotte est ainsi modifié :</w:t>
      </w:r>
      <w:r w:rsidRPr="00874A27">
        <w:rPr>
          <w:rFonts w:ascii="Arial" w:eastAsia="Times New Roman" w:hAnsi="Arial" w:cs="Arial"/>
          <w:color w:val="000000"/>
          <w:sz w:val="19"/>
          <w:szCs w:val="19"/>
          <w:lang w:eastAsia="fr-FR"/>
        </w:rPr>
        <w:br/>
        <w:t>1° A la fin du a du 3°, les mots : « de la deuxième et de la troisième phrases du troisième alinéa ainsi que du cinquième alinéa » sont remplacés par les références : « des II à V et de la première phrase du second alinéa du VII » ;</w:t>
      </w:r>
      <w:r w:rsidRPr="00874A27">
        <w:rPr>
          <w:rFonts w:ascii="Arial" w:eastAsia="Times New Roman" w:hAnsi="Arial" w:cs="Arial"/>
          <w:color w:val="000000"/>
          <w:sz w:val="19"/>
          <w:szCs w:val="19"/>
          <w:lang w:eastAsia="fr-FR"/>
        </w:rPr>
        <w:br/>
        <w:t>2° Après le a du 3°, il est inséré un a bis ainsi rédigé :</w:t>
      </w:r>
      <w:r w:rsidRPr="00874A27">
        <w:rPr>
          <w:rFonts w:ascii="Arial" w:eastAsia="Times New Roman" w:hAnsi="Arial" w:cs="Arial"/>
          <w:color w:val="000000"/>
          <w:sz w:val="19"/>
          <w:szCs w:val="19"/>
          <w:lang w:eastAsia="fr-FR"/>
        </w:rPr>
        <w:br/>
        <w:t>« a bis) Après la référence : « L. 542-7-1 », sont insérés les mots : «, à l'exception des mots : " dans le cas mentionné aux II à V de l'article L. 542-2 ” » ; »</w:t>
      </w:r>
      <w:r w:rsidRPr="00874A27">
        <w:rPr>
          <w:rFonts w:ascii="Arial" w:eastAsia="Times New Roman" w:hAnsi="Arial" w:cs="Arial"/>
          <w:color w:val="000000"/>
          <w:sz w:val="19"/>
          <w:szCs w:val="19"/>
          <w:lang w:eastAsia="fr-FR"/>
        </w:rPr>
        <w:br/>
        <w:t>3° Au dernier alinéa, après les mots : « Les dispositions du II », sont insérés les mots : «, à l'exception de la dernière phrase de son dernier alinéa » et après les mots : « sont applicables » sont insérés les mots : « à l'allocation de logement familiale ».</w:t>
      </w:r>
      <w:r w:rsidRPr="00874A27">
        <w:rPr>
          <w:rFonts w:ascii="Arial" w:eastAsia="Times New Roman" w:hAnsi="Arial" w:cs="Arial"/>
          <w:color w:val="000000"/>
          <w:sz w:val="19"/>
          <w:szCs w:val="19"/>
          <w:lang w:eastAsia="fr-FR"/>
        </w:rPr>
        <w:br/>
        <w:t>III.-L'article 42-1 de l'ordonnance n° 2002-411 du 27 mars 2002 relative à la protection sanitaire et sociale à Mayotte est ainsi modifié :</w:t>
      </w:r>
      <w:r w:rsidRPr="00874A27">
        <w:rPr>
          <w:rFonts w:ascii="Arial" w:eastAsia="Times New Roman" w:hAnsi="Arial" w:cs="Arial"/>
          <w:color w:val="000000"/>
          <w:sz w:val="19"/>
          <w:szCs w:val="19"/>
          <w:lang w:eastAsia="fr-FR"/>
        </w:rPr>
        <w:br/>
        <w:t>1° Au début du premier alinéa du 2°, les mots : « La deuxième et la troisième phrase du premier alinéa » sont remplacés par les références : « Les II à V » et le mot : « remplacées » est remplacé par le mot : « remplacés » ;</w:t>
      </w:r>
      <w:r w:rsidRPr="00874A27">
        <w:rPr>
          <w:rFonts w:ascii="Arial" w:eastAsia="Times New Roman" w:hAnsi="Arial" w:cs="Arial"/>
          <w:color w:val="000000"/>
          <w:sz w:val="19"/>
          <w:szCs w:val="19"/>
          <w:lang w:eastAsia="fr-FR"/>
        </w:rPr>
        <w:br/>
        <w:t>2° Le 2° est complété par un alinéa ainsi rédigé :</w:t>
      </w:r>
      <w:r w:rsidRPr="00874A27">
        <w:rPr>
          <w:rFonts w:ascii="Arial" w:eastAsia="Times New Roman" w:hAnsi="Arial" w:cs="Arial"/>
          <w:color w:val="000000"/>
          <w:sz w:val="19"/>
          <w:szCs w:val="19"/>
          <w:lang w:eastAsia="fr-FR"/>
        </w:rPr>
        <w:br/>
        <w:t>« La dernière phrase du VII de l'article L. 831-3 n'est pas applicable. » ;</w:t>
      </w:r>
      <w:r w:rsidRPr="00874A27">
        <w:rPr>
          <w:rFonts w:ascii="Arial" w:eastAsia="Times New Roman" w:hAnsi="Arial" w:cs="Arial"/>
          <w:color w:val="000000"/>
          <w:sz w:val="19"/>
          <w:szCs w:val="19"/>
          <w:lang w:eastAsia="fr-FR"/>
        </w:rPr>
        <w:br/>
        <w:t>3° Après le 4°, il est inséré un 4° bis ainsi rédigé :</w:t>
      </w:r>
      <w:r w:rsidRPr="00874A27">
        <w:rPr>
          <w:rFonts w:ascii="Arial" w:eastAsia="Times New Roman" w:hAnsi="Arial" w:cs="Arial"/>
          <w:color w:val="000000"/>
          <w:sz w:val="19"/>
          <w:szCs w:val="19"/>
          <w:lang w:eastAsia="fr-FR"/>
        </w:rPr>
        <w:br/>
        <w:t>« 4° bis. La dernière phrase de l'avant-dernier alinéa de l'article L. 835-2 n'est pas applicable. » ;</w:t>
      </w:r>
      <w:r w:rsidRPr="00874A27">
        <w:rPr>
          <w:rFonts w:ascii="Arial" w:eastAsia="Times New Roman" w:hAnsi="Arial" w:cs="Arial"/>
          <w:color w:val="000000"/>
          <w:sz w:val="19"/>
          <w:szCs w:val="19"/>
          <w:lang w:eastAsia="fr-FR"/>
        </w:rPr>
        <w:br/>
        <w:t>4° Après le 3°, il est inséré un 3° bis ainsi rédigé :</w:t>
      </w:r>
      <w:r w:rsidRPr="00874A27">
        <w:rPr>
          <w:rFonts w:ascii="Arial" w:eastAsia="Times New Roman" w:hAnsi="Arial" w:cs="Arial"/>
          <w:color w:val="000000"/>
          <w:sz w:val="19"/>
          <w:szCs w:val="19"/>
          <w:lang w:eastAsia="fr-FR"/>
        </w:rPr>
        <w:br/>
        <w:t>« 3° bis. A l'article L. 831-8, les mots : " dans le cas mentionné aux II à V de l'article L. 831-3 ” ne s'appliquent pas. »</w:t>
      </w:r>
      <w:r w:rsidRPr="00874A27">
        <w:rPr>
          <w:rFonts w:ascii="Arial" w:eastAsia="Times New Roman" w:hAnsi="Arial" w:cs="Arial"/>
          <w:color w:val="000000"/>
          <w:sz w:val="19"/>
          <w:szCs w:val="19"/>
          <w:lang w:eastAsia="fr-FR"/>
        </w:rPr>
        <w:br/>
        <w:t>IV.-Le présent article entre en vigueur le 1er janvier 2015.</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5" w:name="JORFARTI000028774081"/>
      <w:bookmarkEnd w:id="85"/>
      <w:r w:rsidRPr="00874A27">
        <w:rPr>
          <w:rFonts w:ascii="Arial" w:eastAsia="Times New Roman" w:hAnsi="Arial" w:cs="Arial"/>
          <w:b/>
          <w:bCs/>
          <w:color w:val="000000"/>
          <w:sz w:val="23"/>
          <w:szCs w:val="23"/>
          <w:lang w:eastAsia="fr-FR"/>
        </w:rPr>
        <w:t>Article 86 </w:t>
      </w:r>
      <w:hyperlink r:id="rId392" w:tooltip="En savoir plus sur l'article 8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premier alinéa du I de l'article L. 321-1 du code de la construction et de l'habitation est complété par une phrase ainsi rédigée :</w:t>
      </w:r>
      <w:r w:rsidRPr="00874A27">
        <w:rPr>
          <w:rFonts w:ascii="Arial" w:eastAsia="Times New Roman" w:hAnsi="Arial" w:cs="Arial"/>
          <w:color w:val="000000"/>
          <w:sz w:val="19"/>
          <w:szCs w:val="19"/>
          <w:lang w:eastAsia="fr-FR"/>
        </w:rPr>
        <w:br/>
        <w:t>« Elle peut également participer au financement des travaux d'auto-réhabilitation accompagnée par des organismes agréés au titre de l'article L. 365-1.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6" w:name="JORFARTI000028774084"/>
      <w:bookmarkEnd w:id="86"/>
      <w:r w:rsidRPr="00874A27">
        <w:rPr>
          <w:rFonts w:ascii="Arial" w:eastAsia="Times New Roman" w:hAnsi="Arial" w:cs="Arial"/>
          <w:b/>
          <w:bCs/>
          <w:color w:val="000000"/>
          <w:sz w:val="23"/>
          <w:szCs w:val="23"/>
          <w:lang w:eastAsia="fr-FR"/>
        </w:rPr>
        <w:lastRenderedPageBreak/>
        <w:t>Article 87 </w:t>
      </w:r>
      <w:hyperlink r:id="rId393" w:tooltip="En savoir plus sur l'article 8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même code est ainsi modifié :</w:t>
      </w:r>
      <w:r w:rsidRPr="00874A27">
        <w:rPr>
          <w:rFonts w:ascii="Arial" w:eastAsia="Times New Roman" w:hAnsi="Arial" w:cs="Arial"/>
          <w:color w:val="000000"/>
          <w:sz w:val="19"/>
          <w:szCs w:val="19"/>
          <w:lang w:eastAsia="fr-FR"/>
        </w:rPr>
        <w:br/>
        <w:t>1° Après le deuxième alinéa de l'article L. 129-3, il est inséré un alinéa ainsi rédigé :</w:t>
      </w:r>
      <w:r w:rsidRPr="00874A27">
        <w:rPr>
          <w:rFonts w:ascii="Arial" w:eastAsia="Times New Roman" w:hAnsi="Arial" w:cs="Arial"/>
          <w:color w:val="000000"/>
          <w:sz w:val="19"/>
          <w:szCs w:val="19"/>
          <w:lang w:eastAsia="fr-FR"/>
        </w:rPr>
        <w:br/>
        <w:t>« Lorsque l'évacuation a été ordonnée par le maire, le propriétaire est tenu d'assurer l'hébergement provisoire des occupants, dans les conditions prévues aux articles L. 521-1 et L. 521-3-1. L'article L. 521-3-2 est applicable. » ;</w:t>
      </w:r>
      <w:r w:rsidRPr="00874A27">
        <w:rPr>
          <w:rFonts w:ascii="Arial" w:eastAsia="Times New Roman" w:hAnsi="Arial" w:cs="Arial"/>
          <w:color w:val="000000"/>
          <w:sz w:val="19"/>
          <w:szCs w:val="19"/>
          <w:lang w:eastAsia="fr-FR"/>
        </w:rPr>
        <w:br/>
        <w:t>2° Au premier alinéa du I de l'article L. 521-3-1, après la référence : « L. 511-3 », sont insérés les mots : « ou de l'article L. 129-3 » ;</w:t>
      </w:r>
      <w:r w:rsidRPr="00874A27">
        <w:rPr>
          <w:rFonts w:ascii="Arial" w:eastAsia="Times New Roman" w:hAnsi="Arial" w:cs="Arial"/>
          <w:color w:val="000000"/>
          <w:sz w:val="19"/>
          <w:szCs w:val="19"/>
          <w:lang w:eastAsia="fr-FR"/>
        </w:rPr>
        <w:br/>
        <w:t>3° Au I de l'article L. 521-3-2, après la référence : « L. 123-3 », sont insérés les mots : « ou de l'article L. 129-3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7" w:name="JORFARTI000028774091"/>
      <w:bookmarkEnd w:id="87"/>
      <w:r w:rsidRPr="00874A27">
        <w:rPr>
          <w:rFonts w:ascii="Arial" w:eastAsia="Times New Roman" w:hAnsi="Arial" w:cs="Arial"/>
          <w:b/>
          <w:bCs/>
          <w:color w:val="000000"/>
          <w:sz w:val="23"/>
          <w:szCs w:val="23"/>
          <w:lang w:eastAsia="fr-FR"/>
        </w:rPr>
        <w:t>Article 88 </w:t>
      </w:r>
      <w:hyperlink r:id="rId394" w:tooltip="En savoir plus sur l'article 8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13-15 du code de l'expropriation pour cause d'utilité publique est complété par un IV ainsi rédigé :</w:t>
      </w:r>
      <w:r w:rsidRPr="00874A27">
        <w:rPr>
          <w:rFonts w:ascii="Arial" w:eastAsia="Times New Roman" w:hAnsi="Arial" w:cs="Arial"/>
          <w:color w:val="000000"/>
          <w:sz w:val="19"/>
          <w:szCs w:val="19"/>
          <w:lang w:eastAsia="fr-FR"/>
        </w:rPr>
        <w:br/>
        <w:t>« IV. ― Le coût estimatif des travaux et mesures prescrits par une mesure de police propre à assurer la sécurité ou la salubrité des locaux, notifiée au propriétaire ou au syndicat des copropriétaires, et non réalisés au terme prévu par l'arrêté est déduit de l'estimation de la valeur d'un immeuble bâti. Lorsque les travaux et mesures prescrits concernent les parties communes d'un immeuble soumis au statut de la copropriété, la part des travaux et mesures déduits pour chaque lot de copropriété est effectuée au prorata de la quote-part de parties communes affectés à chaque lot.</w:t>
      </w:r>
      <w:r w:rsidRPr="00874A27">
        <w:rPr>
          <w:rFonts w:ascii="Arial" w:eastAsia="Times New Roman" w:hAnsi="Arial" w:cs="Arial"/>
          <w:color w:val="000000"/>
          <w:sz w:val="19"/>
          <w:szCs w:val="19"/>
          <w:lang w:eastAsia="fr-FR"/>
        </w:rPr>
        <w:br/>
        <w:t>« Le montant de l'indemnité ne peut être réduit à la valeur du terrain nu.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8" w:name="JORFARTI000028774094"/>
      <w:bookmarkEnd w:id="88"/>
      <w:r w:rsidRPr="00874A27">
        <w:rPr>
          <w:rFonts w:ascii="Arial" w:eastAsia="Times New Roman" w:hAnsi="Arial" w:cs="Arial"/>
          <w:b/>
          <w:bCs/>
          <w:color w:val="000000"/>
          <w:sz w:val="23"/>
          <w:szCs w:val="23"/>
          <w:lang w:eastAsia="fr-FR"/>
        </w:rPr>
        <w:t>Article 89 </w:t>
      </w:r>
      <w:hyperlink r:id="rId395" w:tooltip="En savoir plus sur l'article 8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 l'article L. 411-1 du code des procédures civiles d'exécution, les mots : « ou l'évacuation » sont supprimés.</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89" w:name="JORFARTI000028774096"/>
      <w:bookmarkEnd w:id="89"/>
      <w:r w:rsidRPr="00874A27">
        <w:rPr>
          <w:rFonts w:ascii="Arial" w:eastAsia="Times New Roman" w:hAnsi="Arial" w:cs="Arial"/>
          <w:b/>
          <w:bCs/>
          <w:color w:val="000000"/>
          <w:sz w:val="23"/>
          <w:szCs w:val="23"/>
          <w:lang w:eastAsia="fr-FR"/>
        </w:rPr>
        <w:t>Article 90 </w:t>
      </w:r>
      <w:hyperlink r:id="rId396" w:tooltip="En savoir plus sur l'article 9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l'article 25 de la loi n° 2000-321 du 12 avril 2000 relative aux droits des citoyens dans leurs relations avec les administrations, il est inséré un article 25-1 A ainsi rédigé :</w:t>
      </w:r>
      <w:r w:rsidRPr="00874A27">
        <w:rPr>
          <w:rFonts w:ascii="Arial" w:eastAsia="Times New Roman" w:hAnsi="Arial" w:cs="Arial"/>
          <w:color w:val="000000"/>
          <w:sz w:val="19"/>
          <w:szCs w:val="19"/>
          <w:lang w:eastAsia="fr-FR"/>
        </w:rPr>
        <w:br/>
        <w:t>« Art. 25-1 A. - Lorsqu'une demande d'un citoyen auprès de l'administration relève des prérogatives des maires au titre des articles </w:t>
      </w:r>
      <w:hyperlink r:id="rId397" w:history="1">
        <w:r w:rsidRPr="00874A27">
          <w:rPr>
            <w:rFonts w:ascii="Arial" w:eastAsia="Times New Roman" w:hAnsi="Arial" w:cs="Arial"/>
            <w:color w:val="336699"/>
            <w:sz w:val="19"/>
            <w:szCs w:val="19"/>
            <w:u w:val="single"/>
            <w:lang w:eastAsia="fr-FR"/>
          </w:rPr>
          <w:t>L. 123-3</w:t>
        </w:r>
      </w:hyperlink>
      <w:r w:rsidRPr="00874A27">
        <w:rPr>
          <w:rFonts w:ascii="Arial" w:eastAsia="Times New Roman" w:hAnsi="Arial" w:cs="Arial"/>
          <w:color w:val="000000"/>
          <w:sz w:val="19"/>
          <w:szCs w:val="19"/>
          <w:lang w:eastAsia="fr-FR"/>
        </w:rPr>
        <w:t> et </w:t>
      </w:r>
      <w:hyperlink r:id="rId398" w:history="1">
        <w:r w:rsidRPr="00874A27">
          <w:rPr>
            <w:rFonts w:ascii="Arial" w:eastAsia="Times New Roman" w:hAnsi="Arial" w:cs="Arial"/>
            <w:color w:val="336699"/>
            <w:sz w:val="19"/>
            <w:szCs w:val="19"/>
            <w:u w:val="single"/>
            <w:lang w:eastAsia="fr-FR"/>
          </w:rPr>
          <w:t>L. 123-4</w:t>
        </w:r>
      </w:hyperlink>
      <w:r w:rsidRPr="00874A27">
        <w:rPr>
          <w:rFonts w:ascii="Arial" w:eastAsia="Times New Roman" w:hAnsi="Arial" w:cs="Arial"/>
          <w:color w:val="000000"/>
          <w:sz w:val="19"/>
          <w:szCs w:val="19"/>
          <w:lang w:eastAsia="fr-FR"/>
        </w:rPr>
        <w:t>, </w:t>
      </w:r>
      <w:hyperlink r:id="rId399" w:history="1">
        <w:r w:rsidRPr="00874A27">
          <w:rPr>
            <w:rFonts w:ascii="Arial" w:eastAsia="Times New Roman" w:hAnsi="Arial" w:cs="Arial"/>
            <w:color w:val="336699"/>
            <w:sz w:val="19"/>
            <w:szCs w:val="19"/>
            <w:u w:val="single"/>
            <w:lang w:eastAsia="fr-FR"/>
          </w:rPr>
          <w:t>L. 129-1 à L. 129-6</w:t>
        </w:r>
      </w:hyperlink>
      <w:r w:rsidRPr="00874A27">
        <w:rPr>
          <w:rFonts w:ascii="Arial" w:eastAsia="Times New Roman" w:hAnsi="Arial" w:cs="Arial"/>
          <w:color w:val="000000"/>
          <w:sz w:val="19"/>
          <w:szCs w:val="19"/>
          <w:lang w:eastAsia="fr-FR"/>
        </w:rPr>
        <w:t> et </w:t>
      </w:r>
      <w:hyperlink r:id="rId400" w:history="1">
        <w:r w:rsidRPr="00874A27">
          <w:rPr>
            <w:rFonts w:ascii="Arial" w:eastAsia="Times New Roman" w:hAnsi="Arial" w:cs="Arial"/>
            <w:color w:val="336699"/>
            <w:sz w:val="19"/>
            <w:szCs w:val="19"/>
            <w:u w:val="single"/>
            <w:lang w:eastAsia="fr-FR"/>
          </w:rPr>
          <w:t>L. 511-1 à L. 511-6</w:t>
        </w:r>
      </w:hyperlink>
      <w:r w:rsidRPr="00874A27">
        <w:rPr>
          <w:rFonts w:ascii="Arial" w:eastAsia="Times New Roman" w:hAnsi="Arial" w:cs="Arial"/>
          <w:color w:val="000000"/>
          <w:sz w:val="19"/>
          <w:szCs w:val="19"/>
          <w:lang w:eastAsia="fr-FR"/>
        </w:rPr>
        <w:t> du code de la construction et de l'habitation, ou des prérogatives du représentant de l'Etat dans le département définies aux </w:t>
      </w:r>
      <w:hyperlink r:id="rId401" w:history="1">
        <w:r w:rsidRPr="00874A27">
          <w:rPr>
            <w:rFonts w:ascii="Arial" w:eastAsia="Times New Roman" w:hAnsi="Arial" w:cs="Arial"/>
            <w:color w:val="336699"/>
            <w:sz w:val="19"/>
            <w:szCs w:val="19"/>
            <w:u w:val="single"/>
            <w:lang w:eastAsia="fr-FR"/>
          </w:rPr>
          <w:t>articles L. 1331-22 à L. 1331-30 du code de la santé publique</w:t>
        </w:r>
      </w:hyperlink>
      <w:r w:rsidRPr="00874A27">
        <w:rPr>
          <w:rFonts w:ascii="Arial" w:eastAsia="Times New Roman" w:hAnsi="Arial" w:cs="Arial"/>
          <w:color w:val="000000"/>
          <w:sz w:val="19"/>
          <w:szCs w:val="19"/>
          <w:lang w:eastAsia="fr-FR"/>
        </w:rPr>
        <w:t>, le déplacement d'un agent assermenté pour établir un constat doit intervenir dans un délai de trois mois à compter de la demande.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90" w:name="JORFARTI000028774104"/>
      <w:bookmarkEnd w:id="90"/>
      <w:r w:rsidRPr="00874A27">
        <w:rPr>
          <w:rFonts w:ascii="Arial" w:eastAsia="Times New Roman" w:hAnsi="Arial" w:cs="Arial"/>
          <w:b/>
          <w:bCs/>
          <w:color w:val="000000"/>
          <w:sz w:val="23"/>
          <w:szCs w:val="23"/>
          <w:lang w:eastAsia="fr-FR"/>
        </w:rPr>
        <w:t>Article 91 </w:t>
      </w:r>
      <w:hyperlink r:id="rId402" w:tooltip="En savoir plus sur l'article 9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la construction et de l'habitation est ainsi modifié :</w:t>
      </w:r>
      <w:r w:rsidRPr="00874A27">
        <w:rPr>
          <w:rFonts w:ascii="Arial" w:eastAsia="Times New Roman" w:hAnsi="Arial" w:cs="Arial"/>
          <w:color w:val="000000"/>
          <w:sz w:val="19"/>
          <w:szCs w:val="19"/>
          <w:lang w:eastAsia="fr-FR"/>
        </w:rPr>
        <w:br/>
        <w:t>1° Au troisième alinéa de l'article L. 111-6-1, après les mots : « 33 m³ », sont insérés les mots : « , les installations ou pièces communes mises à disposition des locaux à usage d'habitation nés de la division n'étant pas comprises dans le calcul de la superficie et du volume desdits locaux, » ;</w:t>
      </w:r>
      <w:r w:rsidRPr="00874A27">
        <w:rPr>
          <w:rFonts w:ascii="Arial" w:eastAsia="Times New Roman" w:hAnsi="Arial" w:cs="Arial"/>
          <w:color w:val="000000"/>
          <w:sz w:val="19"/>
          <w:szCs w:val="19"/>
          <w:lang w:eastAsia="fr-FR"/>
        </w:rPr>
        <w:br/>
        <w:t>2° Après l'article L. 111-6-1, sont insérés des articles L. 111-6-1-1 à L. 111-6-1-3 ainsi rédigés :</w:t>
      </w:r>
      <w:r w:rsidRPr="00874A27">
        <w:rPr>
          <w:rFonts w:ascii="Arial" w:eastAsia="Times New Roman" w:hAnsi="Arial" w:cs="Arial"/>
          <w:color w:val="000000"/>
          <w:sz w:val="19"/>
          <w:szCs w:val="19"/>
          <w:lang w:eastAsia="fr-FR"/>
        </w:rPr>
        <w:br/>
        <w:t xml:space="preserve">« Art. L. 111-6-1-1. - Une autorisation préalable aux travaux conduisant à la création de plusieurs locaux à usage d'habitation dans un immeuble existant peut être instituée par l'organe délibérant de l'établissement public de coopération intercommunale compétent en matière d'habitat ou, à défaut, par le conseil municipal dans les zones présentant une proportion importante d'habitat dégradé ou dans lesquelles l'habitat dégradé est susceptible de se développer. La délibération motivée tient compte du plan départemental d'action pour le logement et l'hébergement des personnes défavorisées et, lorsqu'il est exécutoire, du programme local de l'habitat. Si la commune intéressée n'est pas couverte par un programme local de l'habitat, la délimitation est prise après avis du </w:t>
      </w:r>
      <w:r w:rsidRPr="00874A27">
        <w:rPr>
          <w:rFonts w:ascii="Arial" w:eastAsia="Times New Roman" w:hAnsi="Arial" w:cs="Arial"/>
          <w:color w:val="000000"/>
          <w:sz w:val="19"/>
          <w:szCs w:val="19"/>
          <w:lang w:eastAsia="fr-FR"/>
        </w:rPr>
        <w:lastRenderedPageBreak/>
        <w:t>représentant de l'Etat dans le département.</w:t>
      </w:r>
      <w:r w:rsidRPr="00874A27">
        <w:rPr>
          <w:rFonts w:ascii="Arial" w:eastAsia="Times New Roman" w:hAnsi="Arial" w:cs="Arial"/>
          <w:color w:val="000000"/>
          <w:sz w:val="19"/>
          <w:szCs w:val="19"/>
          <w:lang w:eastAsia="fr-FR"/>
        </w:rPr>
        <w:br/>
        <w:t>« Le président de l'établissement public de coopération intercommunale compétent en matière d'habitat ou, à défaut, le maire refuse l'autorisation à chaque fois que la division contrevient à l'article L. 111-6-1.</w:t>
      </w:r>
      <w:r w:rsidRPr="00874A27">
        <w:rPr>
          <w:rFonts w:ascii="Arial" w:eastAsia="Times New Roman" w:hAnsi="Arial" w:cs="Arial"/>
          <w:color w:val="000000"/>
          <w:sz w:val="19"/>
          <w:szCs w:val="19"/>
          <w:lang w:eastAsia="fr-FR"/>
        </w:rPr>
        <w:br/>
        <w:t>« Le président de l'établissement public de coopération intercommunale compétent en matière d'habitat ou, à défaut, le maire peut refuser ou soumettre à conditions l'autorisation mentionnée au premier alinéa du présent article lorsque les locaux à usage d'habitation créés sont susceptibles de porter atteinte à la sécurité des occupants et à la salubrité publique.</w:t>
      </w:r>
      <w:r w:rsidRPr="00874A27">
        <w:rPr>
          <w:rFonts w:ascii="Arial" w:eastAsia="Times New Roman" w:hAnsi="Arial" w:cs="Arial"/>
          <w:color w:val="000000"/>
          <w:sz w:val="19"/>
          <w:szCs w:val="19"/>
          <w:lang w:eastAsia="fr-FR"/>
        </w:rPr>
        <w:br/>
        <w:t>« Lorsque les opérations de division définies au présent article requièrent une autorisation d'urbanisme, celle-ci tient lieu d'autorisation de division, après accord, le cas échéant, du président de l'établissement public de coopération intercommunale compétent en matière d'habitat lorsque la délibération mentionnée au premier alinéa a été prise par l'organe délibérant de l'établissement public de coopération intercommunale.</w:t>
      </w:r>
      <w:r w:rsidRPr="00874A27">
        <w:rPr>
          <w:rFonts w:ascii="Arial" w:eastAsia="Times New Roman" w:hAnsi="Arial" w:cs="Arial"/>
          <w:color w:val="000000"/>
          <w:sz w:val="19"/>
          <w:szCs w:val="19"/>
          <w:lang w:eastAsia="fr-FR"/>
        </w:rPr>
        <w:br/>
        <w:t>« Art. L. 111-6-1-2. - Une autorisation préalable aux travaux conduisant à la création de plusieurs locaux à usage d'habitation dans un immeuble existant peut être instituée par une délibération de l'organe délibérant de l'établissement public de coopération intercommunale compétent en matière de plan local d'urbanisme ou, à défaut, par le conseil municipal dans des zones délimitées en application du </w:t>
      </w:r>
      <w:hyperlink r:id="rId403" w:history="1">
        <w:r w:rsidRPr="00874A27">
          <w:rPr>
            <w:rFonts w:ascii="Arial" w:eastAsia="Times New Roman" w:hAnsi="Arial" w:cs="Arial"/>
            <w:color w:val="336699"/>
            <w:sz w:val="19"/>
            <w:szCs w:val="19"/>
            <w:u w:val="single"/>
            <w:lang w:eastAsia="fr-FR"/>
          </w:rPr>
          <w:t>3° du II de l'article L. 123-1-5 du code de l'urbanisme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Le président de l'établissement public de coopération intercommunale compétent en matière d'urbanisme ou, à défaut, le maire peut refuser l'autorisation mentionnée au premier alinéa du présent article lorsque les locaux à usage d'habitation créés ne respectent pas les proportions et taille minimales fixées par le plan local d'urbanisme en application du même 3°.</w:t>
      </w:r>
      <w:r w:rsidRPr="00874A27">
        <w:rPr>
          <w:rFonts w:ascii="Arial" w:eastAsia="Times New Roman" w:hAnsi="Arial" w:cs="Arial"/>
          <w:color w:val="000000"/>
          <w:sz w:val="19"/>
          <w:szCs w:val="19"/>
          <w:lang w:eastAsia="fr-FR"/>
        </w:rPr>
        <w:br/>
        <w:t>« Art. L. 111-6-1-3. - Les demandes d'autorisation prévues aux articles L. 111-6-1-1 et L. 111-6-1-2 sont adressées au président de l'établissement public de coopération intercommunale ou, le cas échéant, au maire de la commune, dans les formes fixées par arrêté du ministre chargé du logement.</w:t>
      </w:r>
      <w:r w:rsidRPr="00874A27">
        <w:rPr>
          <w:rFonts w:ascii="Arial" w:eastAsia="Times New Roman" w:hAnsi="Arial" w:cs="Arial"/>
          <w:color w:val="000000"/>
          <w:sz w:val="19"/>
          <w:szCs w:val="19"/>
          <w:lang w:eastAsia="fr-FR"/>
        </w:rPr>
        <w:br/>
        <w:t>« Le président de l'établissement public de coopération intercommunale ou, à défaut, le maire notifie sa décision dans les quinze jours de la réception de la demande. Le défaut de réponse dans le délai de quinze jours vaut autorisation.</w:t>
      </w:r>
      <w:r w:rsidRPr="00874A27">
        <w:rPr>
          <w:rFonts w:ascii="Arial" w:eastAsia="Times New Roman" w:hAnsi="Arial" w:cs="Arial"/>
          <w:color w:val="000000"/>
          <w:sz w:val="19"/>
          <w:szCs w:val="19"/>
          <w:lang w:eastAsia="fr-FR"/>
        </w:rPr>
        <w:br/>
        <w:t>« Le défaut d'autorisation de division est sans effet sur le bail dont bénéficie le locataire qui occupe de bonne foi un local à usage d'habitation né d'une division.</w:t>
      </w:r>
      <w:r w:rsidRPr="00874A27">
        <w:rPr>
          <w:rFonts w:ascii="Arial" w:eastAsia="Times New Roman" w:hAnsi="Arial" w:cs="Arial"/>
          <w:color w:val="000000"/>
          <w:sz w:val="19"/>
          <w:szCs w:val="19"/>
          <w:lang w:eastAsia="fr-FR"/>
        </w:rPr>
        <w:br/>
        <w:t>« Lorsque des opérations de division conduisant à la création de locaux à usage d'habitation au sein d'un immeuble existant sont réalisées en l'absence de l'autorisation préalable prévue aux mêmes articles L. 111-6-1-1 et L. 111-6-1-2, le représentant de l'Etat dans le département peut, après avoir informé l'intéressé de la possibilité de présenter ses observations dans un délai déterminé, ordonner le paiement d'une amende au plus égale à 15 000 €. En cas de nouveau manquement dans un délai de trois ans, le montant maximal de cette amende est porté à 25 000 €.</w:t>
      </w:r>
      <w:r w:rsidRPr="00874A27">
        <w:rPr>
          <w:rFonts w:ascii="Arial" w:eastAsia="Times New Roman" w:hAnsi="Arial" w:cs="Arial"/>
          <w:color w:val="000000"/>
          <w:sz w:val="19"/>
          <w:szCs w:val="19"/>
          <w:lang w:eastAsia="fr-FR"/>
        </w:rPr>
        <w:br/>
        <w:t>« Le produit de l'amende prévue au quatrième alinéa du présent article est intégralement versé à l'Agence nationale de l'habitat.</w:t>
      </w:r>
      <w:r w:rsidRPr="00874A27">
        <w:rPr>
          <w:rFonts w:ascii="Arial" w:eastAsia="Times New Roman" w:hAnsi="Arial" w:cs="Arial"/>
          <w:color w:val="000000"/>
          <w:sz w:val="19"/>
          <w:szCs w:val="19"/>
          <w:lang w:eastAsia="fr-FR"/>
        </w:rPr>
        <w:br/>
        <w:t>« L'amende est proportionnée à la gravité des manquements constatés et ne peut être prononcée plus d'un an à compter de la constatation des manquements.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91" w:name="JORFARTI000028774113"/>
      <w:bookmarkEnd w:id="91"/>
      <w:r w:rsidRPr="00874A27">
        <w:rPr>
          <w:rFonts w:ascii="Arial" w:eastAsia="Times New Roman" w:hAnsi="Arial" w:cs="Arial"/>
          <w:b/>
          <w:bCs/>
          <w:color w:val="000000"/>
          <w:sz w:val="23"/>
          <w:szCs w:val="23"/>
          <w:lang w:eastAsia="fr-FR"/>
        </w:rPr>
        <w:t>Article 92 </w:t>
      </w:r>
      <w:hyperlink r:id="rId404" w:tooltip="En savoir plus sur l'article 9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titre III du livre VI du même code, tel qu'il résulte de l'article 93 de la présente loi, est complété par un chapitre V 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V</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Autorisation préalable de mise en location</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635-1.-I. ― L'organe délibérant de l'établissement public de coopération intercommunale compétent en matière d'habitat ou, à défaut, le conseil municipal peut délimiter des zones soumises à autorisation préalable de mise en location sur les territoires présentant une proportion importante d'habitat dégradé. Ces zones sont délimitées au regard de l'objectif de lutte contre l'habitat indigne et en cohérence avec le programme local de l'habitat en vigueur et le plan départemental d'action pour le logement et l'hébergement des personnes défavorisées. Ces zones peuvent concerner un ou plusieurs ensembles immobiliers.</w:t>
      </w:r>
      <w:r w:rsidRPr="00874A27">
        <w:rPr>
          <w:rFonts w:ascii="Arial" w:eastAsia="Times New Roman" w:hAnsi="Arial" w:cs="Arial"/>
          <w:color w:val="000000"/>
          <w:sz w:val="19"/>
          <w:szCs w:val="19"/>
          <w:lang w:eastAsia="fr-FR"/>
        </w:rPr>
        <w:br/>
        <w:t xml:space="preserve">« II. ― La délibération mentionnée au I peut fixer, pour chacune des zones géographiques qu'elle délimite, les catégories et caractéristiques des logements qui sont soumis à autorisation préalable. Elle précise la date d'entrée en vigueur du dispositif, qui ne peut être fixée à un délai inférieur à six mois à compter de la publication de la délibération mentionnée au I, ainsi que le lieu et les modalités </w:t>
      </w:r>
      <w:r w:rsidRPr="00874A27">
        <w:rPr>
          <w:rFonts w:ascii="Arial" w:eastAsia="Times New Roman" w:hAnsi="Arial" w:cs="Arial"/>
          <w:color w:val="000000"/>
          <w:sz w:val="19"/>
          <w:szCs w:val="19"/>
          <w:lang w:eastAsia="fr-FR"/>
        </w:rPr>
        <w:lastRenderedPageBreak/>
        <w:t>de dépôt de la demande d'autorisation.</w:t>
      </w:r>
      <w:r w:rsidRPr="00874A27">
        <w:rPr>
          <w:rFonts w:ascii="Arial" w:eastAsia="Times New Roman" w:hAnsi="Arial" w:cs="Arial"/>
          <w:color w:val="000000"/>
          <w:sz w:val="19"/>
          <w:szCs w:val="19"/>
          <w:lang w:eastAsia="fr-FR"/>
        </w:rPr>
        <w:br/>
        <w:t>« Art. L. 635-2.-La délibération exécutoire est transmise à la caisse d'allocations familiales et à la caisse de mutualité sociale agricole.</w:t>
      </w:r>
      <w:r w:rsidRPr="00874A27">
        <w:rPr>
          <w:rFonts w:ascii="Arial" w:eastAsia="Times New Roman" w:hAnsi="Arial" w:cs="Arial"/>
          <w:color w:val="000000"/>
          <w:sz w:val="19"/>
          <w:szCs w:val="19"/>
          <w:lang w:eastAsia="fr-FR"/>
        </w:rPr>
        <w:br/>
        <w:t>« Art. L. 635-3.-La mise en location d'un logement situé dans les zones soumises à autorisation préalable de mise en location est subordonnée à la délivrance d'une autorisation par le président de l'établissement public de coopération intercommunale compétent en matière d'habitat ou, à défaut, par le maire de la commune.</w:t>
      </w:r>
      <w:r w:rsidRPr="00874A27">
        <w:rPr>
          <w:rFonts w:ascii="Arial" w:eastAsia="Times New Roman" w:hAnsi="Arial" w:cs="Arial"/>
          <w:color w:val="000000"/>
          <w:sz w:val="19"/>
          <w:szCs w:val="19"/>
          <w:lang w:eastAsia="fr-FR"/>
        </w:rPr>
        <w:br/>
        <w:t>« Le président de l'établissement public de coopération intercommunale compétent en matière d'habitat ou, à défaut, le maire peut refuser ou soumettre à conditions l'autorisation préalable de mise en location lorsque le logement est susceptible de porter atteinte à la sécurité des occupants et à la salubrité publique. La décision de rejet de la demande d'autorisation préalable de mise en location est motivée et précise la nature des travaux ou aménagements prescrits pour satisfaire aux exigences de sécurité et de salubrité précitées.</w:t>
      </w:r>
      <w:r w:rsidRPr="00874A27">
        <w:rPr>
          <w:rFonts w:ascii="Arial" w:eastAsia="Times New Roman" w:hAnsi="Arial" w:cs="Arial"/>
          <w:color w:val="000000"/>
          <w:sz w:val="19"/>
          <w:szCs w:val="19"/>
          <w:lang w:eastAsia="fr-FR"/>
        </w:rPr>
        <w:br/>
        <w:t>« Art. L. 635-4.-La demande d'autorisation, transmise à l'établissement public de coopération intercommunale compétent en matière d'habitat ou, à défaut, à la commune, est établie conformément à un formulaire dont le modèle est fixé par arrêté du ministre chargé du logement. Elle peut être adressée par voie électronique si la délibération mentionnée au II de l'article L. 635-1 a prévu cette faculté. Pour les logements dont les contrats de location sont soumis à l'article 3-3 de la loi n° 89-462 du 6 juillet 1989 tendant à améliorer les rapports locatifs et portant modification de la </w:t>
      </w:r>
      <w:hyperlink r:id="rId405"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le dossier de diagnostic technique prévu à ce même article est annexé à cette demande.</w:t>
      </w:r>
      <w:r w:rsidRPr="00874A27">
        <w:rPr>
          <w:rFonts w:ascii="Arial" w:eastAsia="Times New Roman" w:hAnsi="Arial" w:cs="Arial"/>
          <w:color w:val="000000"/>
          <w:sz w:val="19"/>
          <w:szCs w:val="19"/>
          <w:lang w:eastAsia="fr-FR"/>
        </w:rPr>
        <w:br/>
        <w:t>« Le dépôt de la demande d'autorisation donne lieu à la remise d'un récépissé.</w:t>
      </w:r>
      <w:r w:rsidRPr="00874A27">
        <w:rPr>
          <w:rFonts w:ascii="Arial" w:eastAsia="Times New Roman" w:hAnsi="Arial" w:cs="Arial"/>
          <w:color w:val="000000"/>
          <w:sz w:val="19"/>
          <w:szCs w:val="19"/>
          <w:lang w:eastAsia="fr-FR"/>
        </w:rPr>
        <w:br/>
        <w:t>« A défaut de notification d'une décision expresse dans un délai d'un mois à compter du dépôt de la demande d'autorisation, le silence gardé par le président de l'établissement public de coopération intercommunale compétent en matière d'habitat ou le maire de la commune vaut autorisation préalable de mise en location.</w:t>
      </w:r>
      <w:r w:rsidRPr="00874A27">
        <w:rPr>
          <w:rFonts w:ascii="Arial" w:eastAsia="Times New Roman" w:hAnsi="Arial" w:cs="Arial"/>
          <w:color w:val="000000"/>
          <w:sz w:val="19"/>
          <w:szCs w:val="19"/>
          <w:lang w:eastAsia="fr-FR"/>
        </w:rPr>
        <w:br/>
        <w:t>« L'autorisation préalable de mise en location doit être renouvelée à chaque nouvelle mise en location.</w:t>
      </w:r>
      <w:r w:rsidRPr="00874A27">
        <w:rPr>
          <w:rFonts w:ascii="Arial" w:eastAsia="Times New Roman" w:hAnsi="Arial" w:cs="Arial"/>
          <w:color w:val="000000"/>
          <w:sz w:val="19"/>
          <w:szCs w:val="19"/>
          <w:lang w:eastAsia="fr-FR"/>
        </w:rPr>
        <w:br/>
        <w:t>« Art. L. 635-5.-Cette autorisation doit être jointe au contrat de bail à chaque nouvelle mise en location ou relocation.</w:t>
      </w:r>
      <w:r w:rsidRPr="00874A27">
        <w:rPr>
          <w:rFonts w:ascii="Arial" w:eastAsia="Times New Roman" w:hAnsi="Arial" w:cs="Arial"/>
          <w:color w:val="000000"/>
          <w:sz w:val="19"/>
          <w:szCs w:val="19"/>
          <w:lang w:eastAsia="fr-FR"/>
        </w:rPr>
        <w:br/>
        <w:t>« Art. L. 635-6.-La décision de refus d'une demande d'autorisation est transmise à la caisse d'allocations familiales, à la caisse de mutualité sociale agricole et aux services fiscaux.</w:t>
      </w:r>
      <w:r w:rsidRPr="00874A27">
        <w:rPr>
          <w:rFonts w:ascii="Arial" w:eastAsia="Times New Roman" w:hAnsi="Arial" w:cs="Arial"/>
          <w:color w:val="000000"/>
          <w:sz w:val="19"/>
          <w:szCs w:val="19"/>
          <w:lang w:eastAsia="fr-FR"/>
        </w:rPr>
        <w:br/>
        <w:t>« Art. L. 635-7.-Lorsqu'une personne met en location un logement sans avoir préalablement déposé la demande d'autorisation prévue au présent chapitre auprès de l'établissement public de coopération intercommunale compétent en matière d'habitat ou, à défaut, de la commune, le représentant de l'Etat dans le département peut, après avoir informé l'intéressé de la possibilité de présenter ses observations dans un délai déterminé, ordonner le paiement d'une amende au plus égale à 5 000 €. En cas de nouveau manquement dans un délai de trois ans, le montant maximal de cette amende est porté à 15 000 €.</w:t>
      </w:r>
      <w:r w:rsidRPr="00874A27">
        <w:rPr>
          <w:rFonts w:ascii="Arial" w:eastAsia="Times New Roman" w:hAnsi="Arial" w:cs="Arial"/>
          <w:color w:val="000000"/>
          <w:sz w:val="19"/>
          <w:szCs w:val="19"/>
          <w:lang w:eastAsia="fr-FR"/>
        </w:rPr>
        <w:br/>
        <w:t>« Lorsqu'une personne met en location un logement en dépit d'une décision de rejet de sa demande d'autorisation préalable notifiée par le président de l'établissement public de coopération intercommunale compétent en matière d'habitat ou, à défaut, le maire de la commune, le représentant de l'Etat dans le département peut, après avoir informé l'intéressé de la possibilité de présenter ses observations dans un délai déterminé, ordonner le paiement d'une amende au plus égale à 15 000 €.</w:t>
      </w:r>
      <w:r w:rsidRPr="00874A27">
        <w:rPr>
          <w:rFonts w:ascii="Arial" w:eastAsia="Times New Roman" w:hAnsi="Arial" w:cs="Arial"/>
          <w:color w:val="000000"/>
          <w:sz w:val="19"/>
          <w:szCs w:val="19"/>
          <w:lang w:eastAsia="fr-FR"/>
        </w:rPr>
        <w:br/>
        <w:t>« Le produit des amendes prévues aux deux premiers alinéas est intégralement versé à l'Agence nationale de l'habitat.</w:t>
      </w:r>
      <w:r w:rsidRPr="00874A27">
        <w:rPr>
          <w:rFonts w:ascii="Arial" w:eastAsia="Times New Roman" w:hAnsi="Arial" w:cs="Arial"/>
          <w:color w:val="000000"/>
          <w:sz w:val="19"/>
          <w:szCs w:val="19"/>
          <w:lang w:eastAsia="fr-FR"/>
        </w:rPr>
        <w:br/>
        <w:t>« L'amende est proportionnée à la gravité des manquements constatés et ne peut être prononcée plus d'un an à compter de la constatation des manquements.</w:t>
      </w:r>
      <w:r w:rsidRPr="00874A27">
        <w:rPr>
          <w:rFonts w:ascii="Arial" w:eastAsia="Times New Roman" w:hAnsi="Arial" w:cs="Arial"/>
          <w:color w:val="000000"/>
          <w:sz w:val="19"/>
          <w:szCs w:val="19"/>
          <w:lang w:eastAsia="fr-FR"/>
        </w:rPr>
        <w:br/>
        <w:t>« Art. L. 635-8.-La mise en location de locaux à usage d'habitation par un bailleur, sans autorisation préalable, est sans effet sur le bail dont bénéficie le locataire.</w:t>
      </w:r>
      <w:r w:rsidRPr="00874A27">
        <w:rPr>
          <w:rFonts w:ascii="Arial" w:eastAsia="Times New Roman" w:hAnsi="Arial" w:cs="Arial"/>
          <w:color w:val="000000"/>
          <w:sz w:val="19"/>
          <w:szCs w:val="19"/>
          <w:lang w:eastAsia="fr-FR"/>
        </w:rPr>
        <w:br/>
        <w:t>« L'autorisation préalable de mise en location délivrée à titre tacite est sans incidence sur la qualification du logement au regard des caractéristiques de décence ou du caractère indigne de l'habitat défini à l'article 1er-1 de la </w:t>
      </w:r>
      <w:hyperlink r:id="rId406" w:history="1">
        <w:r w:rsidRPr="00874A27">
          <w:rPr>
            <w:rFonts w:ascii="Arial" w:eastAsia="Times New Roman" w:hAnsi="Arial" w:cs="Arial"/>
            <w:color w:val="336699"/>
            <w:sz w:val="19"/>
            <w:szCs w:val="19"/>
            <w:u w:val="single"/>
            <w:lang w:eastAsia="fr-FR"/>
          </w:rPr>
          <w:t>loi n° 90-449 du 31 mai 1990 </w:t>
        </w:r>
      </w:hyperlink>
      <w:r w:rsidRPr="00874A27">
        <w:rPr>
          <w:rFonts w:ascii="Arial" w:eastAsia="Times New Roman" w:hAnsi="Arial" w:cs="Arial"/>
          <w:color w:val="000000"/>
          <w:sz w:val="19"/>
          <w:szCs w:val="19"/>
          <w:lang w:eastAsia="fr-FR"/>
        </w:rPr>
        <w:t>visant à la mise en œuvre du droit au logement.</w:t>
      </w:r>
      <w:r w:rsidRPr="00874A27">
        <w:rPr>
          <w:rFonts w:ascii="Arial" w:eastAsia="Times New Roman" w:hAnsi="Arial" w:cs="Arial"/>
          <w:color w:val="000000"/>
          <w:sz w:val="19"/>
          <w:szCs w:val="19"/>
          <w:lang w:eastAsia="fr-FR"/>
        </w:rPr>
        <w:br/>
        <w:t>« Art. L. 635-9.-La délivrance d'une autorisation préalable de mise en location est inopposable aux autorités publiques chargées d'assurer la police de la salubrité ou de la sécurité publiques, ainsi qu'aux droits des occupants afférents aux mesures de police administratives édictées à ce titre.</w:t>
      </w:r>
      <w:r w:rsidRPr="00874A27">
        <w:rPr>
          <w:rFonts w:ascii="Arial" w:eastAsia="Times New Roman" w:hAnsi="Arial" w:cs="Arial"/>
          <w:color w:val="000000"/>
          <w:sz w:val="19"/>
          <w:szCs w:val="19"/>
          <w:lang w:eastAsia="fr-FR"/>
        </w:rPr>
        <w:br/>
        <w:t>« Nonobstant l'article L. 635-3, l'autorisation préalable de mise en location ne peut être délivrée lorsque l'immeuble dans lequel est situé le logement fait l'objet d'un arrêté d'insalubrité, de péril ou relatif aux équipements communs des immeubles collectifs à usage principal d'habitation.</w:t>
      </w:r>
      <w:r w:rsidRPr="00874A27">
        <w:rPr>
          <w:rFonts w:ascii="Arial" w:eastAsia="Times New Roman" w:hAnsi="Arial" w:cs="Arial"/>
          <w:color w:val="000000"/>
          <w:sz w:val="19"/>
          <w:szCs w:val="19"/>
          <w:lang w:eastAsia="fr-FR"/>
        </w:rPr>
        <w:br/>
        <w:t xml:space="preserve">« Art. L. 635-10.-Les refus d'autorisation préalable de mise en location ou les autorisations assorties de réserves sont transmis par les autorités compétentes au comité responsable du plan départemental d'action pour le logement et l'hébergement des personnes défavorisées et sont </w:t>
      </w:r>
      <w:r w:rsidRPr="00874A27">
        <w:rPr>
          <w:rFonts w:ascii="Arial" w:eastAsia="Times New Roman" w:hAnsi="Arial" w:cs="Arial"/>
          <w:color w:val="000000"/>
          <w:sz w:val="19"/>
          <w:szCs w:val="19"/>
          <w:lang w:eastAsia="fr-FR"/>
        </w:rPr>
        <w:lastRenderedPageBreak/>
        <w:t>inscrits à l'observatoire des logements indignes mentionné à l'</w:t>
      </w:r>
      <w:hyperlink r:id="rId407" w:history="1">
        <w:r w:rsidRPr="00874A27">
          <w:rPr>
            <w:rFonts w:ascii="Arial" w:eastAsia="Times New Roman" w:hAnsi="Arial" w:cs="Arial"/>
            <w:color w:val="336699"/>
            <w:sz w:val="19"/>
            <w:szCs w:val="19"/>
            <w:u w:val="single"/>
            <w:lang w:eastAsia="fr-FR"/>
          </w:rPr>
          <w:t>article 3 de la loi n° 90-449 du 31 mai 1990 </w:t>
        </w:r>
      </w:hyperlink>
      <w:r w:rsidRPr="00874A27">
        <w:rPr>
          <w:rFonts w:ascii="Arial" w:eastAsia="Times New Roman" w:hAnsi="Arial" w:cs="Arial"/>
          <w:color w:val="000000"/>
          <w:sz w:val="19"/>
          <w:szCs w:val="19"/>
          <w:lang w:eastAsia="fr-FR"/>
        </w:rPr>
        <w:t>visant à la mise en œuvre du droit au logement.</w:t>
      </w:r>
      <w:r w:rsidRPr="00874A27">
        <w:rPr>
          <w:rFonts w:ascii="Arial" w:eastAsia="Times New Roman" w:hAnsi="Arial" w:cs="Arial"/>
          <w:color w:val="000000"/>
          <w:sz w:val="19"/>
          <w:szCs w:val="19"/>
          <w:lang w:eastAsia="fr-FR"/>
        </w:rPr>
        <w:br/>
        <w:t>« Art. L. 635-11.-Les modalités d'application du présent chapitre sont définies par décret en Conseil d'Etat.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92" w:name="JORFARTI000028774131"/>
      <w:bookmarkEnd w:id="92"/>
      <w:r w:rsidRPr="00874A27">
        <w:rPr>
          <w:rFonts w:ascii="Arial" w:eastAsia="Times New Roman" w:hAnsi="Arial" w:cs="Arial"/>
          <w:b/>
          <w:bCs/>
          <w:color w:val="000000"/>
          <w:sz w:val="23"/>
          <w:szCs w:val="23"/>
          <w:lang w:eastAsia="fr-FR"/>
        </w:rPr>
        <w:t>Article 93 </w:t>
      </w:r>
      <w:hyperlink r:id="rId408" w:tooltip="En savoir plus sur l'article 9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même titre III est complété par un chapitre IV 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IV</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Déclaration de mise en location</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634-1.-I. ― L'organe délibérant de l'établissement public de coopération intercommunale compétent en matière d'habitat ou, à défaut, le conseil municipal peut délimiter des zones soumises à déclaration de mise en location, au regard de l'objectif de lutte contre l'habitat indigne et en cohérence avec le programme local de l'habitat en vigueur et le plan départemental d'action pour le logement et l'hébergement des personnes défavorisées. Ces zones peuvent concerner un ou plusieurs ensembles immobiliers.</w:t>
      </w:r>
      <w:r w:rsidRPr="00874A27">
        <w:rPr>
          <w:rFonts w:ascii="Arial" w:eastAsia="Times New Roman" w:hAnsi="Arial" w:cs="Arial"/>
          <w:color w:val="000000"/>
          <w:sz w:val="19"/>
          <w:szCs w:val="19"/>
          <w:lang w:eastAsia="fr-FR"/>
        </w:rPr>
        <w:br/>
        <w:t>« II. ― La délibération mentionnée au I peut fixer, pour chacune des zones géographiques qu'elle délimite, les catégories et caractéristiques des logements qui sont soumis à déclaration. Elle précise la date d'entrée en vigueur du dispositif, qui ne peut être fixée dans un délai inférieur à six mois à compter de la publication de la délibération mentionnée au I, ainsi que le lieu et les modalités de dépôt de la déclaration.</w:t>
      </w:r>
      <w:r w:rsidRPr="00874A27">
        <w:rPr>
          <w:rFonts w:ascii="Arial" w:eastAsia="Times New Roman" w:hAnsi="Arial" w:cs="Arial"/>
          <w:color w:val="000000"/>
          <w:sz w:val="19"/>
          <w:szCs w:val="19"/>
          <w:lang w:eastAsia="fr-FR"/>
        </w:rPr>
        <w:br/>
        <w:t>« Art. L. 634-2.-La délibération exécutoire est transmise à la caisse d'allocations familiales et à la caisse de mutualité sociale agricole.</w:t>
      </w:r>
      <w:r w:rsidRPr="00874A27">
        <w:rPr>
          <w:rFonts w:ascii="Arial" w:eastAsia="Times New Roman" w:hAnsi="Arial" w:cs="Arial"/>
          <w:color w:val="000000"/>
          <w:sz w:val="19"/>
          <w:szCs w:val="19"/>
          <w:lang w:eastAsia="fr-FR"/>
        </w:rPr>
        <w:br/>
        <w:t>« Art. L. 634-3.-Les personnes qui mettent en location un logement situé dans les zones soumises à déclaration de mise en location le déclarent, dans un délai de quinze jours suivant la conclusion du contrat de location, au président de l'établissement public de coopération intercommunale compétent en matière d'habitat ou, à défaut, au maire de la commune.</w:t>
      </w:r>
      <w:r w:rsidRPr="00874A27">
        <w:rPr>
          <w:rFonts w:ascii="Arial" w:eastAsia="Times New Roman" w:hAnsi="Arial" w:cs="Arial"/>
          <w:color w:val="000000"/>
          <w:sz w:val="19"/>
          <w:szCs w:val="19"/>
          <w:lang w:eastAsia="fr-FR"/>
        </w:rPr>
        <w:br/>
        <w:t>« La déclaration est établie conformément à un formulaire dont le modèle est fixé par arrêté du ministre chargé du logement et peut être adressée par voie électronique si la délibération mentionnée à l'article L. 634-1 a prévu cette faculté. Pour les logements dont les contrats de location sont soumis à l'article 3-3 de la loi n° 89-462 du 6 juillet 1989 tendant à améliorer les rapports locatifs et portant modification de la </w:t>
      </w:r>
      <w:hyperlink r:id="rId409"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le dossier de diagnostic technique prévu à ce même article est annexé à la déclaration.</w:t>
      </w:r>
      <w:r w:rsidRPr="00874A27">
        <w:rPr>
          <w:rFonts w:ascii="Arial" w:eastAsia="Times New Roman" w:hAnsi="Arial" w:cs="Arial"/>
          <w:color w:val="000000"/>
          <w:sz w:val="19"/>
          <w:szCs w:val="19"/>
          <w:lang w:eastAsia="fr-FR"/>
        </w:rPr>
        <w:br/>
        <w:t>« Le dépôt de la déclaration donne lieu à la remise d'un récépissé, dont une copie est transmise pour information par le propriétaire au locataire.</w:t>
      </w:r>
      <w:r w:rsidRPr="00874A27">
        <w:rPr>
          <w:rFonts w:ascii="Arial" w:eastAsia="Times New Roman" w:hAnsi="Arial" w:cs="Arial"/>
          <w:color w:val="000000"/>
          <w:sz w:val="19"/>
          <w:szCs w:val="19"/>
          <w:lang w:eastAsia="fr-FR"/>
        </w:rPr>
        <w:br/>
        <w:t>« Cette déclaration est renouvelée à chaque nouvelle mise en location.</w:t>
      </w:r>
      <w:r w:rsidRPr="00874A27">
        <w:rPr>
          <w:rFonts w:ascii="Arial" w:eastAsia="Times New Roman" w:hAnsi="Arial" w:cs="Arial"/>
          <w:color w:val="000000"/>
          <w:sz w:val="19"/>
          <w:szCs w:val="19"/>
          <w:lang w:eastAsia="fr-FR"/>
        </w:rPr>
        <w:br/>
        <w:t>« L'absence de déclaration de mise en location est sans effet sur le bail dont bénéficie le locataire.</w:t>
      </w:r>
      <w:r w:rsidRPr="00874A27">
        <w:rPr>
          <w:rFonts w:ascii="Arial" w:eastAsia="Times New Roman" w:hAnsi="Arial" w:cs="Arial"/>
          <w:color w:val="000000"/>
          <w:sz w:val="19"/>
          <w:szCs w:val="19"/>
          <w:lang w:eastAsia="fr-FR"/>
        </w:rPr>
        <w:br/>
        <w:t>« Le bénéfice du paiement en tiers payant des aides personnelles au logement est subordonné à la production du récépissé de la déclaration de mise en location.</w:t>
      </w:r>
      <w:r w:rsidRPr="00874A27">
        <w:rPr>
          <w:rFonts w:ascii="Arial" w:eastAsia="Times New Roman" w:hAnsi="Arial" w:cs="Arial"/>
          <w:color w:val="000000"/>
          <w:sz w:val="19"/>
          <w:szCs w:val="19"/>
          <w:lang w:eastAsia="fr-FR"/>
        </w:rPr>
        <w:br/>
        <w:t>« Art. L. 634-4.-Lorsqu'une personne met en location un logement sans remplir les obligations de déclaration prescrites par le présent chapitre, le représentant de l'Etat dans le département peut, après avoir informé l'intéressé de la possibilité de présenter ses observations dans un délai déterminé, ordonner le paiement d'une amende au plus égale à 5 000 € ; le produit en est intégralement versé à l'Agence nationale de l'habitat.</w:t>
      </w:r>
      <w:r w:rsidRPr="00874A27">
        <w:rPr>
          <w:rFonts w:ascii="Arial" w:eastAsia="Times New Roman" w:hAnsi="Arial" w:cs="Arial"/>
          <w:color w:val="000000"/>
          <w:sz w:val="19"/>
          <w:szCs w:val="19"/>
          <w:lang w:eastAsia="fr-FR"/>
        </w:rPr>
        <w:br/>
        <w:t>« L'amende est proportionnée à la gravité des manquements constatés relatifs aux obligations de déclaration et ne peut être prononcée plus d'un an à compter de la constatation des manquements.</w:t>
      </w:r>
      <w:r w:rsidRPr="00874A27">
        <w:rPr>
          <w:rFonts w:ascii="Arial" w:eastAsia="Times New Roman" w:hAnsi="Arial" w:cs="Arial"/>
          <w:color w:val="000000"/>
          <w:sz w:val="19"/>
          <w:szCs w:val="19"/>
          <w:lang w:eastAsia="fr-FR"/>
        </w:rPr>
        <w:br/>
        <w:t>« Art. L. 634-5.-Les modalités d'application du présent chapitre sont définies par décret en Conseil d'Etat.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93" w:name="JORFARTI000028774141"/>
      <w:bookmarkEnd w:id="93"/>
      <w:r w:rsidRPr="00874A27">
        <w:rPr>
          <w:rFonts w:ascii="Arial" w:eastAsia="Times New Roman" w:hAnsi="Arial" w:cs="Arial"/>
          <w:b/>
          <w:bCs/>
          <w:color w:val="000000"/>
          <w:sz w:val="23"/>
          <w:szCs w:val="23"/>
          <w:lang w:eastAsia="fr-FR"/>
        </w:rPr>
        <w:t>Article 94 </w:t>
      </w:r>
      <w:hyperlink r:id="rId410" w:tooltip="En savoir plus sur l'article 9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l'urbanisme est ainsi modifié :</w:t>
      </w:r>
      <w:r w:rsidRPr="00874A27">
        <w:rPr>
          <w:rFonts w:ascii="Arial" w:eastAsia="Times New Roman" w:hAnsi="Arial" w:cs="Arial"/>
          <w:color w:val="000000"/>
          <w:sz w:val="19"/>
          <w:szCs w:val="19"/>
          <w:lang w:eastAsia="fr-FR"/>
        </w:rPr>
        <w:br/>
        <w:t>1° Au III de l'article L. 156-3, après le mot : « réfection », sont insérés les mots : «, la reconstruction » ;</w:t>
      </w:r>
      <w:r w:rsidRPr="00874A27">
        <w:rPr>
          <w:rFonts w:ascii="Arial" w:eastAsia="Times New Roman" w:hAnsi="Arial" w:cs="Arial"/>
          <w:color w:val="000000"/>
          <w:sz w:val="19"/>
          <w:szCs w:val="19"/>
          <w:lang w:eastAsia="fr-FR"/>
        </w:rPr>
        <w:br/>
        <w:t>2° Au II de l'article L. 156-4, après le mot : « réfection », sont insérés les mots : «, la reconstruction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94" w:name="JORFARTI000028774147"/>
      <w:bookmarkEnd w:id="94"/>
      <w:r w:rsidRPr="00874A27">
        <w:rPr>
          <w:rFonts w:ascii="Arial" w:eastAsia="Times New Roman" w:hAnsi="Arial" w:cs="Arial"/>
          <w:b/>
          <w:bCs/>
          <w:color w:val="000000"/>
          <w:sz w:val="23"/>
          <w:szCs w:val="23"/>
          <w:lang w:eastAsia="fr-FR"/>
        </w:rPr>
        <w:lastRenderedPageBreak/>
        <w:t>Article 95 </w:t>
      </w:r>
      <w:hyperlink r:id="rId411" w:tooltip="En savoir plus sur l'article 9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Avant le dernier alinéa de l'article 6 de la loi n° 2011-725 du 23 juin 2011 portant dispositions particulières relatives aux quartiers d'habitat informel et à la lutte contre l'habitat indigne dans les départements et régions d'outre-mer, il est inséré un alinéa ainsi rédigé :</w:t>
      </w:r>
      <w:r w:rsidRPr="00874A27">
        <w:rPr>
          <w:rFonts w:ascii="Arial" w:eastAsia="Times New Roman" w:hAnsi="Arial" w:cs="Arial"/>
          <w:color w:val="000000"/>
          <w:sz w:val="19"/>
          <w:szCs w:val="19"/>
          <w:lang w:eastAsia="fr-FR"/>
        </w:rPr>
        <w:br/>
        <w:t>« Les conditions de versement de l'aide financière font l'objet d'une convention entre l'autorité compétente et la personne bénéficiaire. »</w:t>
      </w:r>
    </w:p>
    <w:p w:rsidR="00874A27" w:rsidRPr="00874A27" w:rsidRDefault="00874A27" w:rsidP="00874A27">
      <w:pPr>
        <w:numPr>
          <w:ilvl w:val="0"/>
          <w:numId w:val="3"/>
        </w:numPr>
        <w:shd w:val="clear" w:color="auto" w:fill="FFFFFF"/>
        <w:spacing w:before="100" w:beforeAutospacing="1" w:after="100" w:afterAutospacing="1" w:line="240" w:lineRule="auto"/>
        <w:ind w:left="18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TITRE III : AMÉLIORER LA LISIBILITÉ ET L'EFFICACITÉ DES POLITIQUES PUBLIQUES DU LOGEMENT</w:t>
      </w:r>
    </w:p>
    <w:p w:rsidR="00874A27" w:rsidRPr="00874A27" w:rsidRDefault="00874A27" w:rsidP="00874A27">
      <w:pPr>
        <w:numPr>
          <w:ilvl w:val="1"/>
          <w:numId w:val="3"/>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Ier : Réformer les procédures de demande d'un logement social pour plus de transparence, d'efficacité et d'équité</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95" w:name="JORFARTI000028772726"/>
      <w:bookmarkEnd w:id="95"/>
      <w:r w:rsidRPr="00874A27">
        <w:rPr>
          <w:rFonts w:ascii="Arial" w:eastAsia="Times New Roman" w:hAnsi="Arial" w:cs="Arial"/>
          <w:b/>
          <w:bCs/>
          <w:color w:val="000000"/>
          <w:sz w:val="23"/>
          <w:szCs w:val="23"/>
          <w:lang w:eastAsia="fr-FR"/>
        </w:rPr>
        <w:t>Article 96 </w:t>
      </w:r>
      <w:hyperlink r:id="rId412" w:tooltip="En savoir plus sur l'article 9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la deuxième phrase du premier alinéa de l'article L. 441-1 du code de la construction et de l'habitation, est insérée une phrase ainsi rédigée :</w:t>
      </w:r>
      <w:r w:rsidRPr="00874A27">
        <w:rPr>
          <w:rFonts w:ascii="Arial" w:eastAsia="Times New Roman" w:hAnsi="Arial" w:cs="Arial"/>
          <w:color w:val="000000"/>
          <w:sz w:val="19"/>
          <w:szCs w:val="19"/>
          <w:lang w:eastAsia="fr-FR"/>
        </w:rPr>
        <w:br/>
        <w:t>« Le niveau des ressources tient compte, le cas échéant, des dépenses engagées pour l'hébergement de l'un des conjoints ou partenaires en établissement d'hébergement pour personnes âgées dépendantes.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96" w:name="JORFARTI000028772729"/>
      <w:bookmarkEnd w:id="96"/>
      <w:r w:rsidRPr="00874A27">
        <w:rPr>
          <w:rFonts w:ascii="Arial" w:eastAsia="Times New Roman" w:hAnsi="Arial" w:cs="Arial"/>
          <w:b/>
          <w:bCs/>
          <w:color w:val="000000"/>
          <w:sz w:val="23"/>
          <w:szCs w:val="23"/>
          <w:lang w:eastAsia="fr-FR"/>
        </w:rPr>
        <w:t>Article 97 </w:t>
      </w:r>
      <w:hyperlink r:id="rId413" w:tooltip="En savoir plus sur l'article 9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même code est ainsi modifié :</w:t>
      </w:r>
      <w:r w:rsidRPr="00874A27">
        <w:rPr>
          <w:rFonts w:ascii="Arial" w:eastAsia="Times New Roman" w:hAnsi="Arial" w:cs="Arial"/>
          <w:color w:val="000000"/>
          <w:sz w:val="19"/>
          <w:szCs w:val="19"/>
          <w:lang w:eastAsia="fr-FR"/>
        </w:rPr>
        <w:br/>
        <w:t>1° L'article L. 441-1 est ainsi modifié :</w:t>
      </w:r>
      <w:r w:rsidRPr="00874A27">
        <w:rPr>
          <w:rFonts w:ascii="Arial" w:eastAsia="Times New Roman" w:hAnsi="Arial" w:cs="Arial"/>
          <w:color w:val="000000"/>
          <w:sz w:val="19"/>
          <w:szCs w:val="19"/>
          <w:lang w:eastAsia="fr-FR"/>
        </w:rPr>
        <w:br/>
        <w:t>a) A la première phrase du premier alinéa, la référence : « L. 441-2-6 » est remplacée par la référence : « L. 441-2-9 » ;</w:t>
      </w:r>
      <w:r w:rsidRPr="00874A27">
        <w:rPr>
          <w:rFonts w:ascii="Arial" w:eastAsia="Times New Roman" w:hAnsi="Arial" w:cs="Arial"/>
          <w:color w:val="000000"/>
          <w:sz w:val="19"/>
          <w:szCs w:val="19"/>
          <w:lang w:eastAsia="fr-FR"/>
        </w:rPr>
        <w:br/>
        <w:t>b) Le deuxième alinéa est ainsi modifié :</w:t>
      </w:r>
      <w:r w:rsidRPr="00874A27">
        <w:rPr>
          <w:rFonts w:ascii="Arial" w:eastAsia="Times New Roman" w:hAnsi="Arial" w:cs="Arial"/>
          <w:color w:val="000000"/>
          <w:sz w:val="19"/>
          <w:szCs w:val="19"/>
          <w:lang w:eastAsia="fr-FR"/>
        </w:rPr>
        <w:br/>
        <w:t>A la première phrase, après le mot : « non-conciliation », sont insérés les mots : « ou, à défaut, par une copie de l'acte de saisine du juge aux affaires familiales dans les conditions prévues au code de procédure civile » ;</w:t>
      </w:r>
      <w:r w:rsidRPr="00874A27">
        <w:rPr>
          <w:rFonts w:ascii="Arial" w:eastAsia="Times New Roman" w:hAnsi="Arial" w:cs="Arial"/>
          <w:color w:val="000000"/>
          <w:sz w:val="19"/>
          <w:szCs w:val="19"/>
          <w:lang w:eastAsia="fr-FR"/>
        </w:rPr>
        <w:br/>
        <w:t>Sont ajoutées trois phrases ainsi rédigées :</w:t>
      </w:r>
      <w:r w:rsidRPr="00874A27">
        <w:rPr>
          <w:rFonts w:ascii="Arial" w:eastAsia="Times New Roman" w:hAnsi="Arial" w:cs="Arial"/>
          <w:color w:val="000000"/>
          <w:sz w:val="19"/>
          <w:szCs w:val="19"/>
          <w:lang w:eastAsia="fr-FR"/>
        </w:rPr>
        <w:br/>
        <w:t>« Les ressources du demandeur engagé dans une procédure de divorce par consentement mutuel peuvent être évaluées de la même manière, à titre transitoire et pour une période de cinq ans à compter de la promulgation de la </w:t>
      </w:r>
      <w:hyperlink r:id="rId414" w:history="1">
        <w:r w:rsidRPr="00874A27">
          <w:rPr>
            <w:rFonts w:ascii="Arial" w:eastAsia="Times New Roman" w:hAnsi="Arial" w:cs="Arial"/>
            <w:color w:val="336699"/>
            <w:sz w:val="19"/>
            <w:szCs w:val="19"/>
            <w:u w:val="single"/>
            <w:lang w:eastAsia="fr-FR"/>
          </w:rPr>
          <w:t>loi n° 2014-366 du 24 mars 2014 </w:t>
        </w:r>
      </w:hyperlink>
      <w:r w:rsidRPr="00874A27">
        <w:rPr>
          <w:rFonts w:ascii="Arial" w:eastAsia="Times New Roman" w:hAnsi="Arial" w:cs="Arial"/>
          <w:color w:val="000000"/>
          <w:sz w:val="19"/>
          <w:szCs w:val="19"/>
          <w:lang w:eastAsia="fr-FR"/>
        </w:rPr>
        <w:t>pour l'accès au logement et un urbanisme rénové, lorsque la procédure de divorce est attestée par un organisme de médiation familiale. Dans ces cas, la circonstance que le demandeur bénéficie d'un contrat de location au titre du logement occupé par le couple ne peut faire obstacle à l'attribution d'un logement. Si une demande a été déposée par l'un des membres du couple avant la séparation et qu'elle mentionnait l'autre membre du couple parmi les personnes à loger, l'ancienneté de cette demande est conservée au bénéfice de l'autre membre du couple lorsqu'il se substitue au demandeur initial ou lorsqu'il dépose une autre demande dans le cas où le demandeur initial maintient sa propre demande. » ;</w:t>
      </w:r>
      <w:r w:rsidRPr="00874A27">
        <w:rPr>
          <w:rFonts w:ascii="Arial" w:eastAsia="Times New Roman" w:hAnsi="Arial" w:cs="Arial"/>
          <w:color w:val="000000"/>
          <w:sz w:val="19"/>
          <w:szCs w:val="19"/>
          <w:lang w:eastAsia="fr-FR"/>
        </w:rPr>
        <w:br/>
        <w:t>2° Le premier alinéa de l'article L. 441-1-1 est complété par une phrase ainsi rédigée :</w:t>
      </w:r>
      <w:r w:rsidRPr="00874A27">
        <w:rPr>
          <w:rFonts w:ascii="Arial" w:eastAsia="Times New Roman" w:hAnsi="Arial" w:cs="Arial"/>
          <w:color w:val="000000"/>
          <w:sz w:val="19"/>
          <w:szCs w:val="19"/>
          <w:lang w:eastAsia="fr-FR"/>
        </w:rPr>
        <w:br/>
        <w:t>« Les conseils de la métropole du Grand Paris et de la métropole d'Aix-Marseille-Provence peuvent déléguer aux conseils de territoire la compétence pour conclure cet accord. » ;</w:t>
      </w:r>
      <w:r w:rsidRPr="00874A27">
        <w:rPr>
          <w:rFonts w:ascii="Arial" w:eastAsia="Times New Roman" w:hAnsi="Arial" w:cs="Arial"/>
          <w:color w:val="000000"/>
          <w:sz w:val="19"/>
          <w:szCs w:val="19"/>
          <w:lang w:eastAsia="fr-FR"/>
        </w:rPr>
        <w:br/>
        <w:t>3° Après l'article L. 441-1-4, il est inséré un article L. 441-1-5 ainsi rétabli :</w:t>
      </w:r>
      <w:r w:rsidRPr="00874A27">
        <w:rPr>
          <w:rFonts w:ascii="Arial" w:eastAsia="Times New Roman" w:hAnsi="Arial" w:cs="Arial"/>
          <w:color w:val="000000"/>
          <w:sz w:val="19"/>
          <w:szCs w:val="19"/>
          <w:lang w:eastAsia="fr-FR"/>
        </w:rPr>
        <w:br/>
        <w:t>« Art. L. 441-1-5.-Tout établissement public de coopération intercommunale doté d'un programme local de l'habitat approuvé peut créer une conférence intercommunale du logement qui rassemble, outre les maires des communes membres de l'établissement, le représentant de l'Etat dans le département, des représentants des bailleurs sociaux présents dans le ressort territorial de l'établissement public de coopération intercommunale, des représentants du département, des représentants de tout organisme titulaire de droits de réservation, des représentants locaux des associations de locataires siégeant à la Commission nationale de concertation, des représentants des organismes agréés en application de l'article L. 365-2, des représentants des associations dont l'un des objets est l'insertion ou le logement des personnes défavorisées, des représentants locaux des associations de défense des personnes en situation d'exclusion par le logement mentionnées à l'</w:t>
      </w:r>
      <w:hyperlink r:id="rId415" w:history="1">
        <w:r w:rsidRPr="00874A27">
          <w:rPr>
            <w:rFonts w:ascii="Arial" w:eastAsia="Times New Roman" w:hAnsi="Arial" w:cs="Arial"/>
            <w:color w:val="336699"/>
            <w:sz w:val="19"/>
            <w:szCs w:val="19"/>
            <w:u w:val="single"/>
            <w:lang w:eastAsia="fr-FR"/>
          </w:rPr>
          <w:t xml:space="preserve">article 31 de la loi n° 98-657 du 29 juillet </w:t>
        </w:r>
        <w:r w:rsidRPr="00874A27">
          <w:rPr>
            <w:rFonts w:ascii="Arial" w:eastAsia="Times New Roman" w:hAnsi="Arial" w:cs="Arial"/>
            <w:color w:val="336699"/>
            <w:sz w:val="19"/>
            <w:szCs w:val="19"/>
            <w:u w:val="single"/>
            <w:lang w:eastAsia="fr-FR"/>
          </w:rPr>
          <w:lastRenderedPageBreak/>
          <w:t>1998 </w:t>
        </w:r>
      </w:hyperlink>
      <w:r w:rsidRPr="00874A27">
        <w:rPr>
          <w:rFonts w:ascii="Arial" w:eastAsia="Times New Roman" w:hAnsi="Arial" w:cs="Arial"/>
          <w:color w:val="000000"/>
          <w:sz w:val="19"/>
          <w:szCs w:val="19"/>
          <w:lang w:eastAsia="fr-FR"/>
        </w:rPr>
        <w:t>d'orientation relative à la lutte contre les exclusions et des représentants des personnes défavorisées, coprésidée par le représentant de l'Etat dans le département et le président de l'établissement public de coopération intercommunale. Cette conférence adopte, en tenant compte des critères de priorité mentionnés à l'article L. 441-1 et au </w:t>
      </w:r>
      <w:hyperlink r:id="rId416" w:history="1">
        <w:r w:rsidRPr="00874A27">
          <w:rPr>
            <w:rFonts w:ascii="Arial" w:eastAsia="Times New Roman" w:hAnsi="Arial" w:cs="Arial"/>
            <w:color w:val="336699"/>
            <w:sz w:val="19"/>
            <w:szCs w:val="19"/>
            <w:u w:val="single"/>
            <w:lang w:eastAsia="fr-FR"/>
          </w:rPr>
          <w:t>III de l'article 4 de la loi n° 90-449 du 31 mai 1990 </w:t>
        </w:r>
      </w:hyperlink>
      <w:r w:rsidRPr="00874A27">
        <w:rPr>
          <w:rFonts w:ascii="Arial" w:eastAsia="Times New Roman" w:hAnsi="Arial" w:cs="Arial"/>
          <w:color w:val="000000"/>
          <w:sz w:val="19"/>
          <w:szCs w:val="19"/>
          <w:lang w:eastAsia="fr-FR"/>
        </w:rPr>
        <w:t>visant à la mise en œuvre du droit au logement, ainsi que de l'objectif de la mixité sociale des villes et des quartiers, des orientations concernant :</w:t>
      </w:r>
      <w:r w:rsidRPr="00874A27">
        <w:rPr>
          <w:rFonts w:ascii="Arial" w:eastAsia="Times New Roman" w:hAnsi="Arial" w:cs="Arial"/>
          <w:color w:val="000000"/>
          <w:sz w:val="19"/>
          <w:szCs w:val="19"/>
          <w:lang w:eastAsia="fr-FR"/>
        </w:rPr>
        <w:br/>
        <w:t>« 1° Les objectifs en matière d'attributions de logements et de mutations sur le patrimoine locatif social présent ou prévu sur le ressort territorial de l'établissement ;</w:t>
      </w:r>
      <w:r w:rsidRPr="00874A27">
        <w:rPr>
          <w:rFonts w:ascii="Arial" w:eastAsia="Times New Roman" w:hAnsi="Arial" w:cs="Arial"/>
          <w:color w:val="000000"/>
          <w:sz w:val="19"/>
          <w:szCs w:val="19"/>
          <w:lang w:eastAsia="fr-FR"/>
        </w:rPr>
        <w:br/>
        <w:t>« 2° Les modalités de relogement des personnes relevant de l'accord collectif prévu à l'article L. 441-1-1 ou à l'article L. 441-1-2 ou déclarées prioritaires en application de l'article L. 441-2-3 et des personnes relevant des projets de renouvellement urbain ;</w:t>
      </w:r>
      <w:r w:rsidRPr="00874A27">
        <w:rPr>
          <w:rFonts w:ascii="Arial" w:eastAsia="Times New Roman" w:hAnsi="Arial" w:cs="Arial"/>
          <w:color w:val="000000"/>
          <w:sz w:val="19"/>
          <w:szCs w:val="19"/>
          <w:lang w:eastAsia="fr-FR"/>
        </w:rPr>
        <w:br/>
        <w:t>« 3° Les modalités de la coopération entre les bailleurs sociaux et les titulaires de droits de réservation.</w:t>
      </w:r>
      <w:r w:rsidRPr="00874A27">
        <w:rPr>
          <w:rFonts w:ascii="Arial" w:eastAsia="Times New Roman" w:hAnsi="Arial" w:cs="Arial"/>
          <w:color w:val="000000"/>
          <w:sz w:val="19"/>
          <w:szCs w:val="19"/>
          <w:lang w:eastAsia="fr-FR"/>
        </w:rPr>
        <w:br/>
        <w:t>« La mise en œuvre des orientations approuvées par l'établissement public de coopération intercommunale et par le représentant de l'Etat fait l'objet de conventions signées entre l'établissement, les organismes bailleurs et les réservataires de logements sociaux et, le cas échéant, d'autres personnes morales intéressées. En particulier, lorsque le territoire du ressort de l'établissement public de coopération intercommunale comprend un ou plusieurs quartiers prioritaires de la politique de la ville définis à l'</w:t>
      </w:r>
      <w:hyperlink r:id="rId417" w:history="1">
        <w:r w:rsidRPr="00874A27">
          <w:rPr>
            <w:rFonts w:ascii="Arial" w:eastAsia="Times New Roman" w:hAnsi="Arial" w:cs="Arial"/>
            <w:color w:val="336699"/>
            <w:sz w:val="19"/>
            <w:szCs w:val="19"/>
            <w:u w:val="single"/>
            <w:lang w:eastAsia="fr-FR"/>
          </w:rPr>
          <w:t>article 5 de la loi n° 2014-173 du 21 février 2014 </w:t>
        </w:r>
      </w:hyperlink>
      <w:r w:rsidRPr="00874A27">
        <w:rPr>
          <w:rFonts w:ascii="Arial" w:eastAsia="Times New Roman" w:hAnsi="Arial" w:cs="Arial"/>
          <w:color w:val="000000"/>
          <w:sz w:val="19"/>
          <w:szCs w:val="19"/>
          <w:lang w:eastAsia="fr-FR"/>
        </w:rPr>
        <w:t>de programmation pour la ville et la cohésion urbaine, et fait l'objet d'un contrat de ville défini à l'article 6 de la même loi, la convention mentionnée à l'article 8 de ladite loi est élaborée dans le cadre de la conférence intercommunale du logement.</w:t>
      </w:r>
      <w:r w:rsidRPr="00874A27">
        <w:rPr>
          <w:rFonts w:ascii="Arial" w:eastAsia="Times New Roman" w:hAnsi="Arial" w:cs="Arial"/>
          <w:color w:val="000000"/>
          <w:sz w:val="19"/>
          <w:szCs w:val="19"/>
          <w:lang w:eastAsia="fr-FR"/>
        </w:rPr>
        <w:br/>
        <w:t>« La conférence est associée au suivi de la mise en œuvre, sur le ressort territorial de l'établissement, du plan partenarial de gestion de la demande de logement social et d'information des demandeurs et des systèmes mentionnés au I de l'article L. 441-2-8, des conventions passées en application du cinquième alinéa du présent article et du premier alinéa du III du même article L. 441-2-8 et des accords collectifs mentionnés aux articles L. 441-1-1 et L. 441-1-2. Elle peut formuler des propositions en matière de création d'offres de logement adapté et d'accompagnement des personnes. » ;</w:t>
      </w:r>
      <w:r w:rsidRPr="00874A27">
        <w:rPr>
          <w:rFonts w:ascii="Arial" w:eastAsia="Times New Roman" w:hAnsi="Arial" w:cs="Arial"/>
          <w:color w:val="000000"/>
          <w:sz w:val="19"/>
          <w:szCs w:val="19"/>
          <w:lang w:eastAsia="fr-FR"/>
        </w:rPr>
        <w:br/>
        <w:t>4° L'article L. 441-2-1 est ainsi rédigé :</w:t>
      </w:r>
      <w:r w:rsidRPr="00874A27">
        <w:rPr>
          <w:rFonts w:ascii="Arial" w:eastAsia="Times New Roman" w:hAnsi="Arial" w:cs="Arial"/>
          <w:color w:val="000000"/>
          <w:sz w:val="19"/>
          <w:szCs w:val="19"/>
          <w:lang w:eastAsia="fr-FR"/>
        </w:rPr>
        <w:br/>
        <w:t>« Art. L. 441-2-1.-Les demandes d'attribution de logements sociaux sont présentées auprès des bailleurs de logements sociaux mentionnés à l'article L. 441-1, dans des conditions définies par décret en Conseil d'Etat. Elles peuvent l'être également, lorsqu'ils l'ont décidé, auprès de collectivités territoriales ou d'établissements publics de coopération intercommunale, de bénéficiaires des réservations de logements prévues au même article, de services de l'Etat, ainsi qu'auprès de tout service commun d'enregistrement placé sous la responsabilité de personnes morales énumérées au présent alinéa ou d'un service intégré d'accueil et d'orientation mentionné à l'article L. 345-2-4 du code de l'action sociale et des familles. Lorsque la demande émane de salariés d'une entreprise versant la participation à un organisme collecteur agréé mentionné à l'article L. 313-18 du présent code, elle peut être présentée auprès de cet organisme s'il est bénéficiaire de réservations de logements prévues à l'article L. 441-1.</w:t>
      </w:r>
      <w:r w:rsidRPr="00874A27">
        <w:rPr>
          <w:rFonts w:ascii="Arial" w:eastAsia="Times New Roman" w:hAnsi="Arial" w:cs="Arial"/>
          <w:color w:val="000000"/>
          <w:sz w:val="19"/>
          <w:szCs w:val="19"/>
          <w:lang w:eastAsia="fr-FR"/>
        </w:rPr>
        <w:br/>
        <w:t>« Dès réception, chaque demande fait l'objet d'un enregistrement dans le système national d'enregistrement dans les conditions fixées par la </w:t>
      </w:r>
      <w:hyperlink r:id="rId418" w:history="1">
        <w:r w:rsidRPr="00874A27">
          <w:rPr>
            <w:rFonts w:ascii="Arial" w:eastAsia="Times New Roman" w:hAnsi="Arial" w:cs="Arial"/>
            <w:color w:val="336699"/>
            <w:sz w:val="19"/>
            <w:szCs w:val="19"/>
            <w:u w:val="single"/>
            <w:lang w:eastAsia="fr-FR"/>
          </w:rPr>
          <w:t>loi n° 78-17 du 6 janvier 1978 </w:t>
        </w:r>
      </w:hyperlink>
      <w:r w:rsidRPr="00874A27">
        <w:rPr>
          <w:rFonts w:ascii="Arial" w:eastAsia="Times New Roman" w:hAnsi="Arial" w:cs="Arial"/>
          <w:color w:val="000000"/>
          <w:sz w:val="19"/>
          <w:szCs w:val="19"/>
          <w:lang w:eastAsia="fr-FR"/>
        </w:rPr>
        <w:t>relative à l'informatique, aux fichiers et aux libertés. La demande peut aussi être enregistrée directement par le demandeur, par voie électronique, dans le système national d'enregistrement. Chaque demande est identifiée par un numéro unique délivré au niveau régional en Ile-de-France et départemental sur le reste du territoire.</w:t>
      </w:r>
      <w:r w:rsidRPr="00874A27">
        <w:rPr>
          <w:rFonts w:ascii="Arial" w:eastAsia="Times New Roman" w:hAnsi="Arial" w:cs="Arial"/>
          <w:color w:val="000000"/>
          <w:sz w:val="19"/>
          <w:szCs w:val="19"/>
          <w:lang w:eastAsia="fr-FR"/>
        </w:rPr>
        <w:br/>
        <w:t>« Les informations fournies par le demandeur lors de sa demande ou à l'occasion des modifications éventuelles de celle-ci sont enregistrées dans le système national d'enregistrement dans les mêmes conditions. Il en est de même des informations permettant d'apprécier la situation du demandeur au regard des dispositions de la présente section.</w:t>
      </w:r>
      <w:r w:rsidRPr="00874A27">
        <w:rPr>
          <w:rFonts w:ascii="Arial" w:eastAsia="Times New Roman" w:hAnsi="Arial" w:cs="Arial"/>
          <w:color w:val="000000"/>
          <w:sz w:val="19"/>
          <w:szCs w:val="19"/>
          <w:lang w:eastAsia="fr-FR"/>
        </w:rPr>
        <w:br/>
        <w:t>« Les personnes et services qui enregistrent la demande ou, selon le cas, le gestionnaire du système national d'enregistrement communiquent au demandeur une attestation de demande dans le délai maximal d'un mois à compter du dépôt de la demande. Le demandeur qui n'a pas reçu l'attestation au terme de ce délai saisit le représentant de l'Etat dans le département, qui fait procéder à l'enregistrement d'office de la demande par un bailleur susceptible de répondre à la demande ou, si la demande a été déjà enregistrée, enjoint au gestionnaire du système national d'enregistrement de transmettre sans délai à l'intéressé l'attestation de la demande.</w:t>
      </w:r>
      <w:r w:rsidRPr="00874A27">
        <w:rPr>
          <w:rFonts w:ascii="Arial" w:eastAsia="Times New Roman" w:hAnsi="Arial" w:cs="Arial"/>
          <w:color w:val="000000"/>
          <w:sz w:val="19"/>
          <w:szCs w:val="19"/>
          <w:lang w:eastAsia="fr-FR"/>
        </w:rPr>
        <w:br/>
        <w:t>« L'attestation indique le numéro unique attribué au demandeur. Elle comporte la liste des bailleurs de logements sociaux et des organismes agréés mentionnés à l'article L. 365-2 disposant d'un patrimoine sur les communes demandées. Elle garantit les droits du demandeur en certifiant le dépôt de la demande et fait courir les délais définis à l'article L. 441-1-4, à partir desquels le demandeur peut saisir la commission de médiation prévue à l'article L. 441-2-3, dont elle indique les modalités et les délais de saisine.</w:t>
      </w:r>
      <w:r w:rsidRPr="00874A27">
        <w:rPr>
          <w:rFonts w:ascii="Arial" w:eastAsia="Times New Roman" w:hAnsi="Arial" w:cs="Arial"/>
          <w:color w:val="000000"/>
          <w:sz w:val="19"/>
          <w:szCs w:val="19"/>
          <w:lang w:eastAsia="fr-FR"/>
        </w:rPr>
        <w:br/>
        <w:t xml:space="preserve">« Les pièces justificatives servant à l'instruction de la demande sont déposées en un seul exemplaire. Elles sont enregistrées dans le système national d'enregistrement et rendues disponibles aux </w:t>
      </w:r>
      <w:r w:rsidRPr="00874A27">
        <w:rPr>
          <w:rFonts w:ascii="Arial" w:eastAsia="Times New Roman" w:hAnsi="Arial" w:cs="Arial"/>
          <w:color w:val="000000"/>
          <w:sz w:val="19"/>
          <w:szCs w:val="19"/>
          <w:lang w:eastAsia="fr-FR"/>
        </w:rPr>
        <w:lastRenderedPageBreak/>
        <w:t>personnes ayant accès aux données nominatives de ce système. Avec l'accord du demandeur et parallèlement à l'instruction de la demande, les bailleurs mentionnés à l'article L. 411-2, ainsi que tout autre organisme mentionné au même article avec lequel ils ont conclu une convention à cet effet, dans les conditions fixées par la </w:t>
      </w:r>
      <w:hyperlink r:id="rId419" w:history="1">
        <w:r w:rsidRPr="00874A27">
          <w:rPr>
            <w:rFonts w:ascii="Arial" w:eastAsia="Times New Roman" w:hAnsi="Arial" w:cs="Arial"/>
            <w:color w:val="336699"/>
            <w:sz w:val="19"/>
            <w:szCs w:val="19"/>
            <w:u w:val="single"/>
            <w:lang w:eastAsia="fr-FR"/>
          </w:rPr>
          <w:t>loi n° 78-17 du 6 janvier 1978 précitée</w:t>
        </w:r>
      </w:hyperlink>
      <w:r w:rsidRPr="00874A27">
        <w:rPr>
          <w:rFonts w:ascii="Arial" w:eastAsia="Times New Roman" w:hAnsi="Arial" w:cs="Arial"/>
          <w:color w:val="000000"/>
          <w:sz w:val="19"/>
          <w:szCs w:val="19"/>
          <w:lang w:eastAsia="fr-FR"/>
        </w:rPr>
        <w:t>, peuvent procéder à un examen de la situation du demandeur et, au regard des capacités de ce dernier, l'informer des possibilités d'accession à la propriété auxquelles il peut prétendre.</w:t>
      </w:r>
      <w:r w:rsidRPr="00874A27">
        <w:rPr>
          <w:rFonts w:ascii="Arial" w:eastAsia="Times New Roman" w:hAnsi="Arial" w:cs="Arial"/>
          <w:color w:val="000000"/>
          <w:sz w:val="19"/>
          <w:szCs w:val="19"/>
          <w:lang w:eastAsia="fr-FR"/>
        </w:rPr>
        <w:br/>
        <w:t>« Lorsque le demandeur obtient un logement, le bailleur mentionné à l'article L. 441-1 qui a attribué le logement procède à l'enregistrement de l'attribution et à la radiation de la demande dès la signature du bail. Dans ce cas, la radiation intervient sans avis préalable au demandeur.</w:t>
      </w:r>
      <w:r w:rsidRPr="00874A27">
        <w:rPr>
          <w:rFonts w:ascii="Arial" w:eastAsia="Times New Roman" w:hAnsi="Arial" w:cs="Arial"/>
          <w:color w:val="000000"/>
          <w:sz w:val="19"/>
          <w:szCs w:val="19"/>
          <w:lang w:eastAsia="fr-FR"/>
        </w:rPr>
        <w:br/>
        <w:t>« Lorsque le demandeur obtient un logement par l'intermédiaire d'un organisme mentionné à l'article L. 365-2, cet organisme en informe sans délai le gestionnaire du système national d'enregistrement, qui procède à l'enregistrement de l'attribution et à la radiation de la demande.</w:t>
      </w:r>
      <w:r w:rsidRPr="00874A27">
        <w:rPr>
          <w:rFonts w:ascii="Arial" w:eastAsia="Times New Roman" w:hAnsi="Arial" w:cs="Arial"/>
          <w:color w:val="000000"/>
          <w:sz w:val="19"/>
          <w:szCs w:val="19"/>
          <w:lang w:eastAsia="fr-FR"/>
        </w:rPr>
        <w:br/>
        <w:t>« Aucune attribution de logement ne peut être décidée, ni aucune candidature examinée par une commission d'attribution si la demande n'a pas fait l'objet d'un enregistrement assorti de la délivrance d'un numéro unique.</w:t>
      </w:r>
      <w:r w:rsidRPr="00874A27">
        <w:rPr>
          <w:rFonts w:ascii="Arial" w:eastAsia="Times New Roman" w:hAnsi="Arial" w:cs="Arial"/>
          <w:color w:val="000000"/>
          <w:sz w:val="19"/>
          <w:szCs w:val="19"/>
          <w:lang w:eastAsia="fr-FR"/>
        </w:rPr>
        <w:br/>
        <w:t>« La méconnaissance du présent article est passible des sanctions pécuniaires prévues à l'article L. 342-14.</w:t>
      </w:r>
      <w:r w:rsidRPr="00874A27">
        <w:rPr>
          <w:rFonts w:ascii="Arial" w:eastAsia="Times New Roman" w:hAnsi="Arial" w:cs="Arial"/>
          <w:color w:val="000000"/>
          <w:sz w:val="19"/>
          <w:szCs w:val="19"/>
          <w:lang w:eastAsia="fr-FR"/>
        </w:rPr>
        <w:br/>
        <w:t>« L'Etat confie la gestion du système national d'enregistrement à un groupement d'intérêt public créé à cet effet, regroupant l'Etat, l'Union sociale pour l'habitat, la fédération des entreprises publiques locales et les représentants des réservataires de logements locatifs sociaux. Le financement du développement, de la gestion de ce système et des procédures applicables au dépôt et au renouvellement des demandes est assuré conjointement par la Caisse de garantie du logement locatif social et par l'Etat, selon une répartition arrêtée par l'autorité administrative.</w:t>
      </w:r>
      <w:r w:rsidRPr="00874A27">
        <w:rPr>
          <w:rFonts w:ascii="Arial" w:eastAsia="Times New Roman" w:hAnsi="Arial" w:cs="Arial"/>
          <w:color w:val="000000"/>
          <w:sz w:val="19"/>
          <w:szCs w:val="19"/>
          <w:lang w:eastAsia="fr-FR"/>
        </w:rPr>
        <w:br/>
        <w:t>« Un comité d'orientation, placé auprès du ministre chargé du logement, est saisi pour avis de toute évolution du système national d'enregistrement ayant une incidence sur la relation aux demandeurs de logement social ou sur l'activité des organismes bailleurs ou aux réservataires de logements sociaux.</w:t>
      </w:r>
      <w:r w:rsidRPr="00874A27">
        <w:rPr>
          <w:rFonts w:ascii="Arial" w:eastAsia="Times New Roman" w:hAnsi="Arial" w:cs="Arial"/>
          <w:color w:val="000000"/>
          <w:sz w:val="19"/>
          <w:szCs w:val="19"/>
          <w:lang w:eastAsia="fr-FR"/>
        </w:rPr>
        <w:br/>
        <w:t>« Il est composé de représentants de l'Etat, des établissements publics de coopération intercommunale dotés d'un programme local de l'habitat exécutoire, des organismes bailleurs de logements sociaux et des réservataires de logements sociaux, autres que l'Etat, et de représentants des associations de locataires siégeant à la Commission nationale de concertation ou dont l'un des objets est l'insertion ou le logement des personnes défavorisées ou la défense des personnes en situation d'exclusion par le logement.</w:t>
      </w:r>
      <w:r w:rsidRPr="00874A27">
        <w:rPr>
          <w:rFonts w:ascii="Arial" w:eastAsia="Times New Roman" w:hAnsi="Arial" w:cs="Arial"/>
          <w:color w:val="000000"/>
          <w:sz w:val="19"/>
          <w:szCs w:val="19"/>
          <w:lang w:eastAsia="fr-FR"/>
        </w:rPr>
        <w:br/>
        <w:t>« Il est présidé conjointement par un représentant de l'Etat et un représentant des organismes bailleurs de logements sociaux. » ;</w:t>
      </w:r>
      <w:r w:rsidRPr="00874A27">
        <w:rPr>
          <w:rFonts w:ascii="Arial" w:eastAsia="Times New Roman" w:hAnsi="Arial" w:cs="Arial"/>
          <w:color w:val="000000"/>
          <w:sz w:val="19"/>
          <w:szCs w:val="19"/>
          <w:lang w:eastAsia="fr-FR"/>
        </w:rPr>
        <w:br/>
        <w:t>5° L'article L. 441-2-6 est ainsi rédigé :</w:t>
      </w:r>
      <w:r w:rsidRPr="00874A27">
        <w:rPr>
          <w:rFonts w:ascii="Arial" w:eastAsia="Times New Roman" w:hAnsi="Arial" w:cs="Arial"/>
          <w:color w:val="000000"/>
          <w:sz w:val="19"/>
          <w:szCs w:val="19"/>
          <w:lang w:eastAsia="fr-FR"/>
        </w:rPr>
        <w:br/>
        <w:t>« Art. L. 441-2-6.-Toute personne qui envisage de présenter une demande de logement social a droit à une information sur les modalités de dépôt de la demande et les pièces justificatives qui peuvent être exigées, ainsi que sur les caractéristiques du parc social et le niveau de satisfaction des demandes exprimées sur le territoire qui l'intéresse.</w:t>
      </w:r>
      <w:r w:rsidRPr="00874A27">
        <w:rPr>
          <w:rFonts w:ascii="Arial" w:eastAsia="Times New Roman" w:hAnsi="Arial" w:cs="Arial"/>
          <w:color w:val="000000"/>
          <w:sz w:val="19"/>
          <w:szCs w:val="19"/>
          <w:lang w:eastAsia="fr-FR"/>
        </w:rPr>
        <w:br/>
        <w:t>« Tout demandeur de logement social a droit à une information sur les données le concernant qui figurent dans le système national d'enregistrement et dans le dispositif de gestion de la demande mentionné à l'article L. 441-2-7, ainsi que sur les principales étapes du traitement de sa demande. Il a droit également à une information sur les caractéristiques du parc social et le niveau de satisfaction des demandes exprimées sur le territoire mentionné dans sa demande et sur tout autre territoire susceptible de répondre à ses besoins. » ;</w:t>
      </w:r>
      <w:r w:rsidRPr="00874A27">
        <w:rPr>
          <w:rFonts w:ascii="Arial" w:eastAsia="Times New Roman" w:hAnsi="Arial" w:cs="Arial"/>
          <w:color w:val="000000"/>
          <w:sz w:val="19"/>
          <w:szCs w:val="19"/>
          <w:lang w:eastAsia="fr-FR"/>
        </w:rPr>
        <w:br/>
        <w:t>6° La section 1 du chapitre Ier du titre IV du livre IV est complétée par des articles L. 441-2-7 à L. 441-2-9 ainsi rédigés :</w:t>
      </w:r>
      <w:r w:rsidRPr="00874A27">
        <w:rPr>
          <w:rFonts w:ascii="Arial" w:eastAsia="Times New Roman" w:hAnsi="Arial" w:cs="Arial"/>
          <w:color w:val="000000"/>
          <w:sz w:val="19"/>
          <w:szCs w:val="19"/>
          <w:lang w:eastAsia="fr-FR"/>
        </w:rPr>
        <w:br/>
        <w:t>« Art. L. 441-2-7.-Tout établissement public de coopération intercommunale doté d'un programme local de l'habitat approuvé, les bailleurs de logements sociaux situés dans son ressort territorial, les réservataires de logements sociaux dans ce ressort et les organismes et services chargés de l'information des demandeurs de logement social ou de l'enregistrement des demandes de logement social mettent en place, dans les conditions fixées par la </w:t>
      </w:r>
      <w:hyperlink r:id="rId420" w:history="1">
        <w:r w:rsidRPr="00874A27">
          <w:rPr>
            <w:rFonts w:ascii="Arial" w:eastAsia="Times New Roman" w:hAnsi="Arial" w:cs="Arial"/>
            <w:color w:val="336699"/>
            <w:sz w:val="19"/>
            <w:szCs w:val="19"/>
            <w:u w:val="single"/>
            <w:lang w:eastAsia="fr-FR"/>
          </w:rPr>
          <w:t>loi n° 78-17 du 6 janvier 1978 précitée</w:t>
        </w:r>
      </w:hyperlink>
      <w:r w:rsidRPr="00874A27">
        <w:rPr>
          <w:rFonts w:ascii="Arial" w:eastAsia="Times New Roman" w:hAnsi="Arial" w:cs="Arial"/>
          <w:color w:val="000000"/>
          <w:sz w:val="19"/>
          <w:szCs w:val="19"/>
          <w:lang w:eastAsia="fr-FR"/>
        </w:rPr>
        <w:t>, un dispositif destiné à mettre en commun, en vue d'une gestion partagée des dossiers, les demandes de logement social et les pièces justificatives nécessaires à leur instruction et les informations relatives à la situation des demandeurs et à l'évolution de leurs dossiers en cours de traitement. Le dispositif doit, en outre, permettre d'améliorer la connaissance des demandes sur le territoire en cause. Il est interconnecté avec le système national d'enregistrement ou avec tout dispositif assurant pour le compte de ce dernier l'enregistrement des demandes au niveau départemental et, en Ile-de-France, au niveau régional, dans les conditions fixées par la </w:t>
      </w:r>
      <w:hyperlink r:id="rId421" w:history="1">
        <w:r w:rsidRPr="00874A27">
          <w:rPr>
            <w:rFonts w:ascii="Arial" w:eastAsia="Times New Roman" w:hAnsi="Arial" w:cs="Arial"/>
            <w:color w:val="336699"/>
            <w:sz w:val="19"/>
            <w:szCs w:val="19"/>
            <w:u w:val="single"/>
            <w:lang w:eastAsia="fr-FR"/>
          </w:rPr>
          <w:t>loi n° 78-17 du 6 janvier 1978 précitée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L'établissement public de coopération intercommunale et ses partenaires sont réputés remplir leur obligation s'ils adhèrent à un dispositif mis en place au niveau départemental ou régional, répondant aux conditions fixées au présent article. En Ile-de-France, le dispositif est conforme aux dispositions du cahier des charges régional établi par le représentant de l'Etat dans la région.</w:t>
      </w:r>
      <w:r w:rsidRPr="00874A27">
        <w:rPr>
          <w:rFonts w:ascii="Arial" w:eastAsia="Times New Roman" w:hAnsi="Arial" w:cs="Arial"/>
          <w:color w:val="000000"/>
          <w:sz w:val="19"/>
          <w:szCs w:val="19"/>
          <w:lang w:eastAsia="fr-FR"/>
        </w:rPr>
        <w:br/>
        <w:t xml:space="preserve">« La mise en œuvre du dispositif fait l'objet d'une convention qui précise notamment les conditions de </w:t>
      </w:r>
      <w:r w:rsidRPr="00874A27">
        <w:rPr>
          <w:rFonts w:ascii="Arial" w:eastAsia="Times New Roman" w:hAnsi="Arial" w:cs="Arial"/>
          <w:color w:val="000000"/>
          <w:sz w:val="19"/>
          <w:szCs w:val="19"/>
          <w:lang w:eastAsia="fr-FR"/>
        </w:rPr>
        <w:lastRenderedPageBreak/>
        <w:t>participation de chacune des parties mentionnées au premier alinéa au financement du dispositif. Lorsqu'un bailleur ou un réservataire de logement social refuse de signer une convention, le représentant de l'Etat dans le département ou, en Ile-de-France, le représentant de l'Etat dans la région peut, après avis des parties qui ont signé ou qui ont accepté de signer la convention, fixer par arrêté les conditions de sa participation.</w:t>
      </w:r>
      <w:r w:rsidRPr="00874A27">
        <w:rPr>
          <w:rFonts w:ascii="Arial" w:eastAsia="Times New Roman" w:hAnsi="Arial" w:cs="Arial"/>
          <w:color w:val="000000"/>
          <w:sz w:val="19"/>
          <w:szCs w:val="19"/>
          <w:lang w:eastAsia="fr-FR"/>
        </w:rPr>
        <w:br/>
        <w:t>« En cas de carence de l'établissement public ou de ses partenaires et en cas d'absence d'établissement public de coopération intercommunale doté d'un programme local de l'habitat approuvé, le représentant de l'Etat dans le département ou, en Ile-de-France, le représentant de l'Etat dans la région peut se substituer à l'établissement public pour instituer un dispositif de mise en commun.</w:t>
      </w:r>
      <w:r w:rsidRPr="00874A27">
        <w:rPr>
          <w:rFonts w:ascii="Arial" w:eastAsia="Times New Roman" w:hAnsi="Arial" w:cs="Arial"/>
          <w:color w:val="000000"/>
          <w:sz w:val="19"/>
          <w:szCs w:val="19"/>
          <w:lang w:eastAsia="fr-FR"/>
        </w:rPr>
        <w:br/>
        <w:t>« Art. L. 441-2-8.-I. ― Un plan partenarial de gestion de la demande de logement social et d'information des demandeurs est élaboré, en y associant les communes membres, par tout établissement public de coopération intercommunale doté d'un programme local de l'habitat approuvé. Il peut être élaboré par les autres établissements publics de coopération intercommunale selon les mêmes modalités. Pour les territoires non couverts par un plan partenarial, le représentant de l'Etat dans le département ou, en Ile-de-France, le représentant de l'Etat dans la région peut élaborer un tel plan. Un représentant des organismes bailleurs mentionnés à l'article L. 411-2 est associé à l'élaboration du plan.</w:t>
      </w:r>
      <w:r w:rsidRPr="00874A27">
        <w:rPr>
          <w:rFonts w:ascii="Arial" w:eastAsia="Times New Roman" w:hAnsi="Arial" w:cs="Arial"/>
          <w:color w:val="000000"/>
          <w:sz w:val="19"/>
          <w:szCs w:val="19"/>
          <w:lang w:eastAsia="fr-FR"/>
        </w:rPr>
        <w:br/>
        <w:t>« Le plan partenarial définit les orientations destinées à assurer la gestion partagée des demandes de logement social et à satisfaire le droit à l'information prévu à l'article L. 441-2-6, en fonction des besoins en logement social et des circonstances locales. Ce plan fixe le délai maximal dans lequel tout demandeur qui le souhaite doit être reçu après l'enregistrement de sa demande de logement social. Ce délai ne peut excéder un mois, sauf dans les zones d'urbanisation continue de plus de 50 000 habitants définies à l'</w:t>
      </w:r>
      <w:hyperlink r:id="rId422" w:history="1">
        <w:r w:rsidRPr="00874A27">
          <w:rPr>
            <w:rFonts w:ascii="Arial" w:eastAsia="Times New Roman" w:hAnsi="Arial" w:cs="Arial"/>
            <w:color w:val="336699"/>
            <w:sz w:val="19"/>
            <w:szCs w:val="19"/>
            <w:u w:val="single"/>
            <w:lang w:eastAsia="fr-FR"/>
          </w:rPr>
          <w:t>article 232 du code général des impôts</w:t>
        </w:r>
      </w:hyperlink>
      <w:r w:rsidRPr="00874A27">
        <w:rPr>
          <w:rFonts w:ascii="Arial" w:eastAsia="Times New Roman" w:hAnsi="Arial" w:cs="Arial"/>
          <w:color w:val="000000"/>
          <w:sz w:val="19"/>
          <w:szCs w:val="19"/>
          <w:lang w:eastAsia="fr-FR"/>
        </w:rPr>
        <w:t>, où il peut être porté à deux mois. A titre expérimental, il peut prévoir la participation de personnes morales, soumises à la </w:t>
      </w:r>
      <w:hyperlink r:id="rId423" w:history="1">
        <w:r w:rsidRPr="00874A27">
          <w:rPr>
            <w:rFonts w:ascii="Arial" w:eastAsia="Times New Roman" w:hAnsi="Arial" w:cs="Arial"/>
            <w:color w:val="336699"/>
            <w:sz w:val="19"/>
            <w:szCs w:val="19"/>
            <w:u w:val="single"/>
            <w:lang w:eastAsia="fr-FR"/>
          </w:rPr>
          <w:t>loi n° 70-9 du 2 janvier 1970 </w:t>
        </w:r>
      </w:hyperlink>
      <w:r w:rsidRPr="00874A27">
        <w:rPr>
          <w:rFonts w:ascii="Arial" w:eastAsia="Times New Roman" w:hAnsi="Arial" w:cs="Arial"/>
          <w:color w:val="000000"/>
          <w:sz w:val="19"/>
          <w:szCs w:val="19"/>
          <w:lang w:eastAsia="fr-FR"/>
        </w:rPr>
        <w:t>réglementant les conditions d'exercice des activités relatives à certaines opérations portant sur les immeubles et les fonds de commerce, à la collecte et à la diffusion d'informations sur l'offre de logements disponibles. Pour la mise en œuvre de ces orientations, il détermine les actions auxquelles sont associés les organismes bailleurs, l'Etat et les autres réservataires de logements sociaux et, le cas échéant, d'autres personnes morales intéressées, notamment les associations mentionnées à l'article L. 366-1 du présent code et à l'</w:t>
      </w:r>
      <w:hyperlink r:id="rId424" w:history="1">
        <w:r w:rsidRPr="00874A27">
          <w:rPr>
            <w:rFonts w:ascii="Arial" w:eastAsia="Times New Roman" w:hAnsi="Arial" w:cs="Arial"/>
            <w:color w:val="336699"/>
            <w:sz w:val="19"/>
            <w:szCs w:val="19"/>
            <w:u w:val="single"/>
            <w:lang w:eastAsia="fr-FR"/>
          </w:rPr>
          <w:t>article L. 121-3 du code de l'urbanisme</w:t>
        </w:r>
      </w:hyperlink>
      <w:r w:rsidRPr="00874A27">
        <w:rPr>
          <w:rFonts w:ascii="Arial" w:eastAsia="Times New Roman" w:hAnsi="Arial" w:cs="Arial"/>
          <w:color w:val="000000"/>
          <w:sz w:val="19"/>
          <w:szCs w:val="19"/>
          <w:lang w:eastAsia="fr-FR"/>
        </w:rPr>
        <w:t>. Au nombre de ces actions, il prévoit les modalités d'organisation et de fonctionnement d'un service d'information et d'accueil des demandeurs de logement. Ces modalités prévoient, a minima, la consultation de représentants locaux des associations de locataires siégeant à la Commission nationale de concertation et de représentants locaux des associations de défense des personnes en situation d'exclusion par le logement mentionnées à l'</w:t>
      </w:r>
      <w:hyperlink r:id="rId425" w:history="1">
        <w:r w:rsidRPr="00874A27">
          <w:rPr>
            <w:rFonts w:ascii="Arial" w:eastAsia="Times New Roman" w:hAnsi="Arial" w:cs="Arial"/>
            <w:color w:val="336699"/>
            <w:sz w:val="19"/>
            <w:szCs w:val="19"/>
            <w:u w:val="single"/>
            <w:lang w:eastAsia="fr-FR"/>
          </w:rPr>
          <w:t>article 31 de la loi n° 98-657 du 29 juillet 1998 </w:t>
        </w:r>
      </w:hyperlink>
      <w:r w:rsidRPr="00874A27">
        <w:rPr>
          <w:rFonts w:ascii="Arial" w:eastAsia="Times New Roman" w:hAnsi="Arial" w:cs="Arial"/>
          <w:color w:val="000000"/>
          <w:sz w:val="19"/>
          <w:szCs w:val="19"/>
          <w:lang w:eastAsia="fr-FR"/>
        </w:rPr>
        <w:t>d'orientation relative à la lutte contre les exclusions. Ce service comporte au moins un lieu d'accueil des personnes bénéficiant du droit à l'information défini à l'article L. 441-2-6 du présent code, au fonctionnement duquel concourent les organismes bailleurs, l'Etat et les autres réservataires de logements sociaux. Le bilan de l'attribution des logements locatifs sociaux établi, chaque année, par les bailleurs sociaux, en application de l'article L. 441-2-5, à l'intention des présidents des établissements publics de coopération intercommunale mentionnés à l'article L. 441-1-1 peut être consulté dans le cadre du service d'information et d'accueil des demandeurs de logement.</w:t>
      </w:r>
      <w:r w:rsidRPr="00874A27">
        <w:rPr>
          <w:rFonts w:ascii="Arial" w:eastAsia="Times New Roman" w:hAnsi="Arial" w:cs="Arial"/>
          <w:color w:val="000000"/>
          <w:sz w:val="19"/>
          <w:szCs w:val="19"/>
          <w:lang w:eastAsia="fr-FR"/>
        </w:rPr>
        <w:br/>
        <w:t>« Si l'établissement public de coopération intercommunale à l'origine du plan partenarial de gestion de la demande de logement social et d'information des demandeurs a initié ou souhaite initier un système de cotation de la demande liée à un système de qualification de l'offre de logements, dans le respect de l'article L. 441-1, son principe et ses modalités doivent être expressément mentionnés dans le plan mentionné au présent article et lié au dispositif de gestion de la demande mentionné à l'article L. 441-2-7.</w:t>
      </w:r>
      <w:r w:rsidRPr="00874A27">
        <w:rPr>
          <w:rFonts w:ascii="Arial" w:eastAsia="Times New Roman" w:hAnsi="Arial" w:cs="Arial"/>
          <w:color w:val="000000"/>
          <w:sz w:val="19"/>
          <w:szCs w:val="19"/>
          <w:lang w:eastAsia="fr-FR"/>
        </w:rPr>
        <w:br/>
        <w:t>« Si l'établissement public de coopération intercommunale à l'origine du plan partenarial de gestion de la demande de logement social et d'information des demandeurs a initié ou souhaite initier un système de location choisie, dans le respect de l'article L. 441-1, son principe et ses modalités doivent également être mentionnés dans le plan.</w:t>
      </w:r>
      <w:r w:rsidRPr="00874A27">
        <w:rPr>
          <w:rFonts w:ascii="Arial" w:eastAsia="Times New Roman" w:hAnsi="Arial" w:cs="Arial"/>
          <w:color w:val="000000"/>
          <w:sz w:val="19"/>
          <w:szCs w:val="19"/>
          <w:lang w:eastAsia="fr-FR"/>
        </w:rPr>
        <w:br/>
        <w:t>« II. ― Le projet de plan est soumis pour avis aux communes membres de l'établissement public de coopération intercommunale. Si les avis n'ont pas été rendus dans le délai de deux mois suivant la saisine, ils sont réputés favorables.</w:t>
      </w:r>
      <w:r w:rsidRPr="00874A27">
        <w:rPr>
          <w:rFonts w:ascii="Arial" w:eastAsia="Times New Roman" w:hAnsi="Arial" w:cs="Arial"/>
          <w:color w:val="000000"/>
          <w:sz w:val="19"/>
          <w:szCs w:val="19"/>
          <w:lang w:eastAsia="fr-FR"/>
        </w:rPr>
        <w:br/>
        <w:t>« Le projet de plan est transmis au représentant de l'Etat dans le département ou, en Ile-de-France, au représentant de l'Etat dans la région, qui peut demander, dans le délai de deux mois suivant sa saisine, des modifications pour répondre aux objectifs qu'il avait fixés à ce plan. Le plan ne peut être adopté si ces demandes ne sont pas satisfaites.</w:t>
      </w:r>
      <w:r w:rsidRPr="00874A27">
        <w:rPr>
          <w:rFonts w:ascii="Arial" w:eastAsia="Times New Roman" w:hAnsi="Arial" w:cs="Arial"/>
          <w:color w:val="000000"/>
          <w:sz w:val="19"/>
          <w:szCs w:val="19"/>
          <w:lang w:eastAsia="fr-FR"/>
        </w:rPr>
        <w:br/>
        <w:t>« Le plan est révisé dans les mêmes conditions.</w:t>
      </w:r>
      <w:r w:rsidRPr="00874A27">
        <w:rPr>
          <w:rFonts w:ascii="Arial" w:eastAsia="Times New Roman" w:hAnsi="Arial" w:cs="Arial"/>
          <w:color w:val="000000"/>
          <w:sz w:val="19"/>
          <w:szCs w:val="19"/>
          <w:lang w:eastAsia="fr-FR"/>
        </w:rPr>
        <w:br/>
        <w:t>« III. ― La mise en œuvre du plan fait l'objet de conventions signées entre l'établissement public de coopération intercommunale et les organismes bailleurs, l'Etat, les autres réservataires de logements sociaux et, le cas échéant, d'autres personnes morales intéressées.</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Les conseils de la métropole du Grand Paris et de la métropole d'Aix-Marseille-Provence peuvent déléguer aux conseils de territoire la compétence pour conclure ces conventions.</w:t>
      </w:r>
      <w:r w:rsidRPr="00874A27">
        <w:rPr>
          <w:rFonts w:ascii="Arial" w:eastAsia="Times New Roman" w:hAnsi="Arial" w:cs="Arial"/>
          <w:color w:val="000000"/>
          <w:sz w:val="19"/>
          <w:szCs w:val="19"/>
          <w:lang w:eastAsia="fr-FR"/>
        </w:rPr>
        <w:br/>
        <w:t>« Lorsqu'un bailleur social ou un réservataire refuse de signer une convention, le représentant de l'Etat dans le département ou, en Ile-de-France, le représentant de l'Etat dans la région fixe par arrêté les conditions de sa participation à la mise en œuvre de la convention.</w:t>
      </w:r>
      <w:r w:rsidRPr="00874A27">
        <w:rPr>
          <w:rFonts w:ascii="Arial" w:eastAsia="Times New Roman" w:hAnsi="Arial" w:cs="Arial"/>
          <w:color w:val="000000"/>
          <w:sz w:val="19"/>
          <w:szCs w:val="19"/>
          <w:lang w:eastAsia="fr-FR"/>
        </w:rPr>
        <w:br/>
        <w:t>« Art. L. 441-2-9.-Un décret en Conseil d'Etat détermine les conditions d'application de la présente section. Il définit ou précise notamment :</w:t>
      </w:r>
      <w:r w:rsidRPr="00874A27">
        <w:rPr>
          <w:rFonts w:ascii="Arial" w:eastAsia="Times New Roman" w:hAnsi="Arial" w:cs="Arial"/>
          <w:color w:val="000000"/>
          <w:sz w:val="19"/>
          <w:szCs w:val="19"/>
          <w:lang w:eastAsia="fr-FR"/>
        </w:rPr>
        <w:br/>
        <w:t>« 1° Les informations qui figurent dans la demande de logement social et les pièces qui sont fournies pour l'attribution du numéro unique et pour l'instruction de la demande, ainsi que leurs modalités de dépôt. Les informations figurant dans la demande de logement social permettent notamment de caractériser les demandes au regard des critères de priorité définis à l'article L. 441-1 ;</w:t>
      </w:r>
      <w:r w:rsidRPr="00874A27">
        <w:rPr>
          <w:rFonts w:ascii="Arial" w:eastAsia="Times New Roman" w:hAnsi="Arial" w:cs="Arial"/>
          <w:color w:val="000000"/>
          <w:sz w:val="19"/>
          <w:szCs w:val="19"/>
          <w:lang w:eastAsia="fr-FR"/>
        </w:rPr>
        <w:br/>
        <w:t>« 2° La durée de validité des demandes de logements sociaux et les conditions de leur radiation ;</w:t>
      </w:r>
      <w:r w:rsidRPr="00874A27">
        <w:rPr>
          <w:rFonts w:ascii="Arial" w:eastAsia="Times New Roman" w:hAnsi="Arial" w:cs="Arial"/>
          <w:color w:val="000000"/>
          <w:sz w:val="19"/>
          <w:szCs w:val="19"/>
          <w:lang w:eastAsia="fr-FR"/>
        </w:rPr>
        <w:br/>
        <w:t>« 3° Les conditions d'enregistrement, d'accès et de partage des données nominatives du système national d'enregistrement par les services et les personnes morales mentionnés au premier alinéa de l'article L. 441-2-1 ;</w:t>
      </w:r>
      <w:r w:rsidRPr="00874A27">
        <w:rPr>
          <w:rFonts w:ascii="Arial" w:eastAsia="Times New Roman" w:hAnsi="Arial" w:cs="Arial"/>
          <w:color w:val="000000"/>
          <w:sz w:val="19"/>
          <w:szCs w:val="19"/>
          <w:lang w:eastAsia="fr-FR"/>
        </w:rPr>
        <w:br/>
        <w:t>« 4° Le contenu de l'information due au demandeur en application de l'article L. 441-2-6 et les modalités de sa mise à disposition ;</w:t>
      </w:r>
      <w:r w:rsidRPr="00874A27">
        <w:rPr>
          <w:rFonts w:ascii="Arial" w:eastAsia="Times New Roman" w:hAnsi="Arial" w:cs="Arial"/>
          <w:color w:val="000000"/>
          <w:sz w:val="19"/>
          <w:szCs w:val="19"/>
          <w:lang w:eastAsia="fr-FR"/>
        </w:rPr>
        <w:br/>
        <w:t>« 5° La liste des informations minimales contenues dans le dispositif de gestion de la demande prévu à l'article L. 441-2-7, les fonctions obligatoires qu'il remplit et les conditions de son fonctionnement ;</w:t>
      </w:r>
      <w:r w:rsidRPr="00874A27">
        <w:rPr>
          <w:rFonts w:ascii="Arial" w:eastAsia="Times New Roman" w:hAnsi="Arial" w:cs="Arial"/>
          <w:color w:val="000000"/>
          <w:sz w:val="19"/>
          <w:szCs w:val="19"/>
          <w:lang w:eastAsia="fr-FR"/>
        </w:rPr>
        <w:br/>
        <w:t>« 6° La limite dans laquelle les dépenses engagées pour l'hébergement de l'un des conjoints ou partenaires en établissement d'hébergement pour personnes âgées dépendantes sont prises en compte dans l'appréciation des ressources du demandeur de logement social ;</w:t>
      </w:r>
      <w:r w:rsidRPr="00874A27">
        <w:rPr>
          <w:rFonts w:ascii="Arial" w:eastAsia="Times New Roman" w:hAnsi="Arial" w:cs="Arial"/>
          <w:color w:val="000000"/>
          <w:sz w:val="19"/>
          <w:szCs w:val="19"/>
          <w:lang w:eastAsia="fr-FR"/>
        </w:rPr>
        <w:br/>
        <w:t>« 7° Les modalités d'élaboration, d'évaluation et de révision du plan partenarial prévu à l'article L. 441-2-8 ainsi que son contenu ;</w:t>
      </w:r>
      <w:r w:rsidRPr="00874A27">
        <w:rPr>
          <w:rFonts w:ascii="Arial" w:eastAsia="Times New Roman" w:hAnsi="Arial" w:cs="Arial"/>
          <w:color w:val="000000"/>
          <w:sz w:val="19"/>
          <w:szCs w:val="19"/>
          <w:lang w:eastAsia="fr-FR"/>
        </w:rPr>
        <w:br/>
        <w:t>« 8° La composition, l'organisation et le fonctionnement du comité d'orientation du système national d'enregistrement. » ;</w:t>
      </w:r>
      <w:r w:rsidRPr="00874A27">
        <w:rPr>
          <w:rFonts w:ascii="Arial" w:eastAsia="Times New Roman" w:hAnsi="Arial" w:cs="Arial"/>
          <w:color w:val="000000"/>
          <w:sz w:val="19"/>
          <w:szCs w:val="19"/>
          <w:lang w:eastAsia="fr-FR"/>
        </w:rPr>
        <w:br/>
        <w:t>7° Le 6° de l'article L. 472-3 est ainsi modifié :</w:t>
      </w:r>
      <w:r w:rsidRPr="00874A27">
        <w:rPr>
          <w:rFonts w:ascii="Arial" w:eastAsia="Times New Roman" w:hAnsi="Arial" w:cs="Arial"/>
          <w:color w:val="000000"/>
          <w:sz w:val="19"/>
          <w:szCs w:val="19"/>
          <w:lang w:eastAsia="fr-FR"/>
        </w:rPr>
        <w:br/>
        <w:t>a) Au a, le mot : « troisième » est remplacé par le mot : « cinquième » ;</w:t>
      </w:r>
      <w:r w:rsidRPr="00874A27">
        <w:rPr>
          <w:rFonts w:ascii="Arial" w:eastAsia="Times New Roman" w:hAnsi="Arial" w:cs="Arial"/>
          <w:color w:val="000000"/>
          <w:sz w:val="19"/>
          <w:szCs w:val="19"/>
          <w:lang w:eastAsia="fr-FR"/>
        </w:rPr>
        <w:br/>
        <w:t>b) Le b est ainsi rédigé :</w:t>
      </w:r>
      <w:r w:rsidRPr="00874A27">
        <w:rPr>
          <w:rFonts w:ascii="Arial" w:eastAsia="Times New Roman" w:hAnsi="Arial" w:cs="Arial"/>
          <w:color w:val="000000"/>
          <w:sz w:val="19"/>
          <w:szCs w:val="19"/>
          <w:lang w:eastAsia="fr-FR"/>
        </w:rPr>
        <w:br/>
        <w:t>« b) Les articles L. 441-2-1 et L. 441-2-6 à L. 441-2-9 sont applicables à compter d'une date fixée par décret et, au plus tard, le 31 décembre 2015. » ;</w:t>
      </w:r>
      <w:r w:rsidRPr="00874A27">
        <w:rPr>
          <w:rFonts w:ascii="Arial" w:eastAsia="Times New Roman" w:hAnsi="Arial" w:cs="Arial"/>
          <w:color w:val="000000"/>
          <w:sz w:val="19"/>
          <w:szCs w:val="19"/>
          <w:lang w:eastAsia="fr-FR"/>
        </w:rPr>
        <w:br/>
        <w:t>8° L'article L. 423-13 est ainsi modifié :</w:t>
      </w:r>
      <w:r w:rsidRPr="00874A27">
        <w:rPr>
          <w:rFonts w:ascii="Arial" w:eastAsia="Times New Roman" w:hAnsi="Arial" w:cs="Arial"/>
          <w:color w:val="000000"/>
          <w:sz w:val="19"/>
          <w:szCs w:val="19"/>
          <w:lang w:eastAsia="fr-FR"/>
        </w:rPr>
        <w:br/>
        <w:t>a) Au premier alinéa, le mot : « ou » est remplacé par les mots : «, à la commission d'attribution ou au » ;</w:t>
      </w:r>
      <w:r w:rsidRPr="00874A27">
        <w:rPr>
          <w:rFonts w:ascii="Arial" w:eastAsia="Times New Roman" w:hAnsi="Arial" w:cs="Arial"/>
          <w:color w:val="000000"/>
          <w:sz w:val="19"/>
          <w:szCs w:val="19"/>
          <w:lang w:eastAsia="fr-FR"/>
        </w:rPr>
        <w:br/>
        <w:t>b) Après le premier alinéa, il est inséré un alinéa ainsi rédigé :</w:t>
      </w:r>
      <w:r w:rsidRPr="00874A27">
        <w:rPr>
          <w:rFonts w:ascii="Arial" w:eastAsia="Times New Roman" w:hAnsi="Arial" w:cs="Arial"/>
          <w:color w:val="000000"/>
          <w:sz w:val="19"/>
          <w:szCs w:val="19"/>
          <w:lang w:eastAsia="fr-FR"/>
        </w:rPr>
        <w:br/>
        <w:t>« Toutefois, l'employeur peut refuser l'absence du salarié pour participer à la commission d'attribution, s'il peut démontrer que cette participation aurait des conséquences préjudiciables à la bonne marche de l'entreprise.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97" w:name="JORFARTI000028772765"/>
      <w:bookmarkEnd w:id="97"/>
      <w:r w:rsidRPr="00874A27">
        <w:rPr>
          <w:rFonts w:ascii="Arial" w:eastAsia="Times New Roman" w:hAnsi="Arial" w:cs="Arial"/>
          <w:b/>
          <w:bCs/>
          <w:color w:val="000000"/>
          <w:sz w:val="23"/>
          <w:szCs w:val="23"/>
          <w:lang w:eastAsia="fr-FR"/>
        </w:rPr>
        <w:t>Article 98 </w:t>
      </w:r>
      <w:hyperlink r:id="rId426" w:tooltip="En savoir plus sur l'article 9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441-2 du même code est complété par un alinéa ainsi rédigé :</w:t>
      </w:r>
      <w:r w:rsidRPr="00874A27">
        <w:rPr>
          <w:rFonts w:ascii="Arial" w:eastAsia="Times New Roman" w:hAnsi="Arial" w:cs="Arial"/>
          <w:color w:val="000000"/>
          <w:sz w:val="19"/>
          <w:szCs w:val="19"/>
          <w:lang w:eastAsia="fr-FR"/>
        </w:rPr>
        <w:br/>
        <w:t>« A titre dérogatoire, pour une durée de trois ans à compter de la date de publication de la </w:t>
      </w:r>
      <w:hyperlink r:id="rId427" w:history="1">
        <w:r w:rsidRPr="00874A27">
          <w:rPr>
            <w:rFonts w:ascii="Arial" w:eastAsia="Times New Roman" w:hAnsi="Arial" w:cs="Arial"/>
            <w:color w:val="336699"/>
            <w:sz w:val="19"/>
            <w:szCs w:val="19"/>
            <w:u w:val="single"/>
            <w:lang w:eastAsia="fr-FR"/>
          </w:rPr>
          <w:t>loi n° 2014-366 du 24 mars 2014 </w:t>
        </w:r>
      </w:hyperlink>
      <w:r w:rsidRPr="00874A27">
        <w:rPr>
          <w:rFonts w:ascii="Arial" w:eastAsia="Times New Roman" w:hAnsi="Arial" w:cs="Arial"/>
          <w:color w:val="000000"/>
          <w:sz w:val="19"/>
          <w:szCs w:val="19"/>
          <w:lang w:eastAsia="fr-FR"/>
        </w:rPr>
        <w:t>pour l'accès au logement et un urbanisme rénové, dans les communes non assujetties à la taxe annuelle sur les logements vacants définies au </w:t>
      </w:r>
      <w:hyperlink r:id="rId428" w:history="1">
        <w:r w:rsidRPr="00874A27">
          <w:rPr>
            <w:rFonts w:ascii="Arial" w:eastAsia="Times New Roman" w:hAnsi="Arial" w:cs="Arial"/>
            <w:color w:val="336699"/>
            <w:sz w:val="19"/>
            <w:szCs w:val="19"/>
            <w:u w:val="single"/>
            <w:lang w:eastAsia="fr-FR"/>
          </w:rPr>
          <w:t>I de l'article 232 du code général des impôts</w:t>
        </w:r>
      </w:hyperlink>
      <w:r w:rsidRPr="00874A27">
        <w:rPr>
          <w:rFonts w:ascii="Arial" w:eastAsia="Times New Roman" w:hAnsi="Arial" w:cs="Arial"/>
          <w:color w:val="000000"/>
          <w:sz w:val="19"/>
          <w:szCs w:val="19"/>
          <w:lang w:eastAsia="fr-FR"/>
        </w:rPr>
        <w:t>, et après accord du représentant de l'Etat dans le département, la commission d'attribution peut prendre une forme numérique en réunissant ses membres à distance selon des modalités définies par son règlement et approuvées également par le représentant de l'Etat dans le département. Pendant la durée de la commission d'attribution numérique, les membres de la commission font part de leurs décisions de manière concomitante à l'aide d'outils informatiques garantissant un accès sécurisé, un choix libre et éclairé, la confidentialité des échanges, le respect de la vie privée des demandeurs et la possibilité, à tout moment et pour tout membre, de renvoyer la décision à une commission d'attribution physique.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98" w:name="JORFARTI000028772770"/>
      <w:bookmarkEnd w:id="98"/>
      <w:r w:rsidRPr="00874A27">
        <w:rPr>
          <w:rFonts w:ascii="Arial" w:eastAsia="Times New Roman" w:hAnsi="Arial" w:cs="Arial"/>
          <w:b/>
          <w:bCs/>
          <w:color w:val="000000"/>
          <w:sz w:val="23"/>
          <w:szCs w:val="23"/>
          <w:lang w:eastAsia="fr-FR"/>
        </w:rPr>
        <w:t>Article 99 </w:t>
      </w:r>
      <w:hyperlink r:id="rId429" w:tooltip="En savoir plus sur l'article 9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l'article L. 441-3-1 du même code, il est inséré un article L. 441-3-2 ainsi rédigé :</w:t>
      </w:r>
      <w:r w:rsidRPr="00874A27">
        <w:rPr>
          <w:rFonts w:ascii="Arial" w:eastAsia="Times New Roman" w:hAnsi="Arial" w:cs="Arial"/>
          <w:color w:val="000000"/>
          <w:sz w:val="19"/>
          <w:szCs w:val="19"/>
          <w:lang w:eastAsia="fr-FR"/>
        </w:rPr>
        <w:br/>
        <w:t xml:space="preserve">« Art. L. 441-3-2.-Pour permettre de satisfaire aux exigences du deuxième alinéa de l'article L. 441, et notamment de favoriser la mixité sociale des villes et des quartiers, le produit du supplément de loyer de solidarité peut être affecté au financement de remises sur le loyer acquitté par les locataires </w:t>
      </w:r>
      <w:r w:rsidRPr="00874A27">
        <w:rPr>
          <w:rFonts w:ascii="Arial" w:eastAsia="Times New Roman" w:hAnsi="Arial" w:cs="Arial"/>
          <w:color w:val="000000"/>
          <w:sz w:val="19"/>
          <w:szCs w:val="19"/>
          <w:lang w:eastAsia="fr-FR"/>
        </w:rPr>
        <w:lastRenderedPageBreak/>
        <w:t>connaissant des difficultés économiques et sociales.</w:t>
      </w:r>
      <w:r w:rsidRPr="00874A27">
        <w:rPr>
          <w:rFonts w:ascii="Arial" w:eastAsia="Times New Roman" w:hAnsi="Arial" w:cs="Arial"/>
          <w:color w:val="000000"/>
          <w:sz w:val="19"/>
          <w:szCs w:val="19"/>
          <w:lang w:eastAsia="fr-FR"/>
        </w:rPr>
        <w:br/>
        <w:t>« Cette remise effectuée par le bailleur doit faire l'objet d'une mention expresse sur la quittance mensuelle délivrée au locataire.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99" w:name="JORFARTI000028772773"/>
      <w:bookmarkEnd w:id="99"/>
      <w:r w:rsidRPr="00874A27">
        <w:rPr>
          <w:rFonts w:ascii="Arial" w:eastAsia="Times New Roman" w:hAnsi="Arial" w:cs="Arial"/>
          <w:b/>
          <w:bCs/>
          <w:color w:val="000000"/>
          <w:sz w:val="23"/>
          <w:szCs w:val="23"/>
          <w:lang w:eastAsia="fr-FR"/>
        </w:rPr>
        <w:t>Article 100 </w:t>
      </w:r>
      <w:hyperlink r:id="rId430" w:tooltip="En savoir plus sur l'article 10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deuxième alinéa de l'article L. 441-4 du même code est supprimé.</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00" w:name="JORFARTI000028772776"/>
      <w:bookmarkEnd w:id="100"/>
      <w:r w:rsidRPr="00874A27">
        <w:rPr>
          <w:rFonts w:ascii="Arial" w:eastAsia="Times New Roman" w:hAnsi="Arial" w:cs="Arial"/>
          <w:b/>
          <w:bCs/>
          <w:color w:val="000000"/>
          <w:sz w:val="23"/>
          <w:szCs w:val="23"/>
          <w:lang w:eastAsia="fr-FR"/>
        </w:rPr>
        <w:t>Article 101 </w:t>
      </w:r>
      <w:hyperlink r:id="rId431" w:tooltip="En savoir plus sur l'article 10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Au troisième alinéa de l'article L. 442-3-1 du même code, le mot : « prise » est remplacé par les mots : « et d'une aide au stockage des meubles prises ».</w:t>
      </w:r>
    </w:p>
    <w:p w:rsidR="00874A27" w:rsidRPr="00874A27" w:rsidRDefault="00874A27" w:rsidP="00874A27">
      <w:pPr>
        <w:numPr>
          <w:ilvl w:val="1"/>
          <w:numId w:val="3"/>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II : Améliorer le contrôle du secteur du logement social</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01" w:name="JORFARTI000028772779"/>
      <w:bookmarkEnd w:id="101"/>
      <w:r w:rsidRPr="00874A27">
        <w:rPr>
          <w:rFonts w:ascii="Arial" w:eastAsia="Times New Roman" w:hAnsi="Arial" w:cs="Arial"/>
          <w:b/>
          <w:bCs/>
          <w:color w:val="000000"/>
          <w:sz w:val="23"/>
          <w:szCs w:val="23"/>
          <w:lang w:eastAsia="fr-FR"/>
        </w:rPr>
        <w:t>Article 102 </w:t>
      </w:r>
      <w:hyperlink r:id="rId432" w:tooltip="En savoir plus sur l'article 10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de la construction et de l'habitation est ainsi modifié :</w:t>
      </w:r>
      <w:r w:rsidRPr="00874A27">
        <w:rPr>
          <w:rFonts w:ascii="Arial" w:eastAsia="Times New Roman" w:hAnsi="Arial" w:cs="Arial"/>
          <w:color w:val="000000"/>
          <w:sz w:val="19"/>
          <w:szCs w:val="19"/>
          <w:lang w:eastAsia="fr-FR"/>
        </w:rPr>
        <w:br/>
        <w:t>1° Le titre IV du livre III est ainsi modifié :</w:t>
      </w:r>
      <w:r w:rsidRPr="00874A27">
        <w:rPr>
          <w:rFonts w:ascii="Arial" w:eastAsia="Times New Roman" w:hAnsi="Arial" w:cs="Arial"/>
          <w:color w:val="000000"/>
          <w:sz w:val="19"/>
          <w:szCs w:val="19"/>
          <w:lang w:eastAsia="fr-FR"/>
        </w:rPr>
        <w:br/>
        <w:t>a) L'intitulé est complété par les mots : « et sanctions » ;</w:t>
      </w:r>
      <w:r w:rsidRPr="00874A27">
        <w:rPr>
          <w:rFonts w:ascii="Arial" w:eastAsia="Times New Roman" w:hAnsi="Arial" w:cs="Arial"/>
          <w:color w:val="000000"/>
          <w:sz w:val="19"/>
          <w:szCs w:val="19"/>
          <w:lang w:eastAsia="fr-FR"/>
        </w:rPr>
        <w:br/>
        <w:t>b) Le chapitre unique devient un chapitre Ier intitulé : « Reversement de l'aide de l'Etat » ;</w:t>
      </w:r>
      <w:r w:rsidRPr="00874A27">
        <w:rPr>
          <w:rFonts w:ascii="Arial" w:eastAsia="Times New Roman" w:hAnsi="Arial" w:cs="Arial"/>
          <w:color w:val="000000"/>
          <w:sz w:val="19"/>
          <w:szCs w:val="19"/>
          <w:lang w:eastAsia="fr-FR"/>
        </w:rPr>
        <w:br/>
        <w:t>c) Il est ajouté un chapitre II ainsi rédigé :</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II</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Agence nationale de contrôle</w:t>
      </w:r>
      <w:r w:rsidRPr="00874A27">
        <w:rPr>
          <w:rFonts w:ascii="Arial" w:eastAsia="Times New Roman" w:hAnsi="Arial" w:cs="Arial"/>
          <w:color w:val="000000"/>
          <w:sz w:val="19"/>
          <w:szCs w:val="19"/>
          <w:lang w:eastAsia="fr-FR"/>
        </w:rPr>
        <w:br/>
        <w:t>du logement social</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Section 1</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Dispositions générales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342-1.-L'Agence nationale de contrôle du logement social est un établissement public de l'Etat à caractère administratif. L'agence est chargée d'une mission de contrôle et d'évaluation relative au logement social et à la participation des employeurs à l'effort de construction dans les conditions prévues au présent chapitre.</w:t>
      </w:r>
      <w:r w:rsidRPr="00874A27">
        <w:rPr>
          <w:rFonts w:ascii="Arial" w:eastAsia="Times New Roman" w:hAnsi="Arial" w:cs="Arial"/>
          <w:color w:val="000000"/>
          <w:sz w:val="19"/>
          <w:szCs w:val="19"/>
          <w:lang w:eastAsia="fr-FR"/>
        </w:rPr>
        <w:br/>
        <w:t>« Art. L. 342-2.-I. ― L'agence a pour missions :</w:t>
      </w:r>
      <w:r w:rsidRPr="00874A27">
        <w:rPr>
          <w:rFonts w:ascii="Arial" w:eastAsia="Times New Roman" w:hAnsi="Arial" w:cs="Arial"/>
          <w:color w:val="000000"/>
          <w:sz w:val="19"/>
          <w:szCs w:val="19"/>
          <w:lang w:eastAsia="fr-FR"/>
        </w:rPr>
        <w:br/>
        <w:t>« 1° De contrôler, de manière individuelle et thématique :</w:t>
      </w:r>
      <w:r w:rsidRPr="00874A27">
        <w:rPr>
          <w:rFonts w:ascii="Arial" w:eastAsia="Times New Roman" w:hAnsi="Arial" w:cs="Arial"/>
          <w:color w:val="000000"/>
          <w:sz w:val="19"/>
          <w:szCs w:val="19"/>
          <w:lang w:eastAsia="fr-FR"/>
        </w:rPr>
        <w:br/>
        <w:t>« a) Le respect, par les organismes mentionnés au II, à l'exception de ceux mentionnés au 4° du même II, des dispositions législatives et réglementaires qui leur sont applicables ;</w:t>
      </w:r>
      <w:r w:rsidRPr="00874A27">
        <w:rPr>
          <w:rFonts w:ascii="Arial" w:eastAsia="Times New Roman" w:hAnsi="Arial" w:cs="Arial"/>
          <w:color w:val="000000"/>
          <w:sz w:val="19"/>
          <w:szCs w:val="19"/>
          <w:lang w:eastAsia="fr-FR"/>
        </w:rPr>
        <w:br/>
        <w:t>« b) L'emploi conforme à leur objet des subventions, prêts ou avantages consentis par l'Etat ou par ses établissements publics et par les collectivités territoriales ou leurs établissements publics ;</w:t>
      </w:r>
      <w:r w:rsidRPr="00874A27">
        <w:rPr>
          <w:rFonts w:ascii="Arial" w:eastAsia="Times New Roman" w:hAnsi="Arial" w:cs="Arial"/>
          <w:color w:val="000000"/>
          <w:sz w:val="19"/>
          <w:szCs w:val="19"/>
          <w:lang w:eastAsia="fr-FR"/>
        </w:rPr>
        <w:br/>
        <w:t>« c) Le respect, par les organismes mentionnés au II, de la décision 2012/21/ UE de la Commission européenne, du 20 décembre 2011, relative à l'application de l'article 106, paragraphe 2, du traité sur le fonctionnement de l'Union européenne aux aides d'Etat sous forme de compensations de service public octroyées à certaines entreprises chargées de la gestion de services d'intérêt économique général ;</w:t>
      </w:r>
      <w:r w:rsidRPr="00874A27">
        <w:rPr>
          <w:rFonts w:ascii="Arial" w:eastAsia="Times New Roman" w:hAnsi="Arial" w:cs="Arial"/>
          <w:color w:val="000000"/>
          <w:sz w:val="19"/>
          <w:szCs w:val="19"/>
          <w:lang w:eastAsia="fr-FR"/>
        </w:rPr>
        <w:br/>
        <w:t>« d) Les procédures de contrôle interne et d'audit interne mises en place par les organismes mentionnés au II, à l'exception de ceux mentionnés au 4° du même II ;</w:t>
      </w:r>
      <w:r w:rsidRPr="00874A27">
        <w:rPr>
          <w:rFonts w:ascii="Arial" w:eastAsia="Times New Roman" w:hAnsi="Arial" w:cs="Arial"/>
          <w:color w:val="000000"/>
          <w:sz w:val="19"/>
          <w:szCs w:val="19"/>
          <w:lang w:eastAsia="fr-FR"/>
        </w:rPr>
        <w:br/>
        <w:t xml:space="preserve">« e) Conformément à l'article L. 353-11, pour les personnes morales et physiques mentionnées au 4° du II du présent article, l'application des conventions ouvrant droit à l'aide personnalisée au logement mentionnées à l'article L. 351-2, y compris les conventions en cours, notamment le respect des règles d'accès des locataires sous condition de ressources et de plafonnement des loyers auxquelles demeurent soumis ces logements ainsi que les conditions d'application de ces règles, à l'exception des </w:t>
      </w:r>
      <w:r w:rsidRPr="00874A27">
        <w:rPr>
          <w:rFonts w:ascii="Arial" w:eastAsia="Times New Roman" w:hAnsi="Arial" w:cs="Arial"/>
          <w:color w:val="000000"/>
          <w:sz w:val="19"/>
          <w:szCs w:val="19"/>
          <w:lang w:eastAsia="fr-FR"/>
        </w:rPr>
        <w:lastRenderedPageBreak/>
        <w:t>conventions mentionnées à l'article L. 321-8 ;</w:t>
      </w:r>
      <w:r w:rsidRPr="00874A27">
        <w:rPr>
          <w:rFonts w:ascii="Arial" w:eastAsia="Times New Roman" w:hAnsi="Arial" w:cs="Arial"/>
          <w:color w:val="000000"/>
          <w:sz w:val="19"/>
          <w:szCs w:val="19"/>
          <w:lang w:eastAsia="fr-FR"/>
        </w:rPr>
        <w:br/>
        <w:t>« 2° Dévaluer :</w:t>
      </w:r>
      <w:r w:rsidRPr="00874A27">
        <w:rPr>
          <w:rFonts w:ascii="Arial" w:eastAsia="Times New Roman" w:hAnsi="Arial" w:cs="Arial"/>
          <w:color w:val="000000"/>
          <w:sz w:val="19"/>
          <w:szCs w:val="19"/>
          <w:lang w:eastAsia="fr-FR"/>
        </w:rPr>
        <w:br/>
        <w:t>« a) La contribution de la participation des employeurs à l'effort de construction aux catégories d'emplois mentionnées à l'article L. 313-3, dans le respect de la mise en œuvre de la convention prévue à ce même article ;</w:t>
      </w:r>
      <w:r w:rsidRPr="00874A27">
        <w:rPr>
          <w:rFonts w:ascii="Arial" w:eastAsia="Times New Roman" w:hAnsi="Arial" w:cs="Arial"/>
          <w:color w:val="000000"/>
          <w:sz w:val="19"/>
          <w:szCs w:val="19"/>
          <w:lang w:eastAsia="fr-FR"/>
        </w:rPr>
        <w:br/>
        <w:t>« b) L'efficacité avec laquelle les organismes mentionnés aux 1° et 2° du II du présent article s'acquittent de la mission d'intérêt général qui leur est confiée au titre de l'article L. 411-2 ;</w:t>
      </w:r>
      <w:r w:rsidRPr="00874A27">
        <w:rPr>
          <w:rFonts w:ascii="Arial" w:eastAsia="Times New Roman" w:hAnsi="Arial" w:cs="Arial"/>
          <w:color w:val="000000"/>
          <w:sz w:val="19"/>
          <w:szCs w:val="19"/>
          <w:lang w:eastAsia="fr-FR"/>
        </w:rPr>
        <w:br/>
        <w:t>« c) Pour les organismes mentionnés au II du présent article, à l'exception de ceux mentionnés au 4° du même II, la gouvernance, l'efficience de la gestion, l'organisation territoriale et l'ensemble de l'activité consacrée à la mission de construction et de gestion du logement social, sans préjudice des compétences de l'Union des entreprises et des salariés pour le logement prévues à l'article L. 313-19 ;</w:t>
      </w:r>
      <w:r w:rsidRPr="00874A27">
        <w:rPr>
          <w:rFonts w:ascii="Arial" w:eastAsia="Times New Roman" w:hAnsi="Arial" w:cs="Arial"/>
          <w:color w:val="000000"/>
          <w:sz w:val="19"/>
          <w:szCs w:val="19"/>
          <w:lang w:eastAsia="fr-FR"/>
        </w:rPr>
        <w:br/>
        <w:t>« d) Pour les personnes morales et physiques mentionnées au 4° du II du présent article, la capacité technique et financière à assurer l'entretien de leur patrimoine locatif et, le cas échéant, le montage d'opérations nouvelles et leur capacité de gestion locative lorsqu'elles gèrent elles-mêmes les logements ;</w:t>
      </w:r>
      <w:r w:rsidRPr="00874A27">
        <w:rPr>
          <w:rFonts w:ascii="Arial" w:eastAsia="Times New Roman" w:hAnsi="Arial" w:cs="Arial"/>
          <w:color w:val="000000"/>
          <w:sz w:val="19"/>
          <w:szCs w:val="19"/>
          <w:lang w:eastAsia="fr-FR"/>
        </w:rPr>
        <w:br/>
        <w:t>« 3° De gérer les suites des contrôles, dans les conditions définies à la section 4 du présent chapitre ;</w:t>
      </w:r>
      <w:r w:rsidRPr="00874A27">
        <w:rPr>
          <w:rFonts w:ascii="Arial" w:eastAsia="Times New Roman" w:hAnsi="Arial" w:cs="Arial"/>
          <w:color w:val="000000"/>
          <w:sz w:val="19"/>
          <w:szCs w:val="19"/>
          <w:lang w:eastAsia="fr-FR"/>
        </w:rPr>
        <w:br/>
        <w:t>« 4° D'assurer la production annuelle de données statistiques et financières relatives à la participation des employeurs à l'effort de construction, sans préjudice des compétences de l'Union des entreprises et des salariés pour le logement prévues à l'article L. 313-19. La liste des données recueillies à cette fin auprès des organismes mentionnés au 5° du II du présent article est soumise chaque année, pour avis, à l'Union des entreprises et des salariés pour le logement.</w:t>
      </w:r>
      <w:r w:rsidRPr="00874A27">
        <w:rPr>
          <w:rFonts w:ascii="Arial" w:eastAsia="Times New Roman" w:hAnsi="Arial" w:cs="Arial"/>
          <w:color w:val="000000"/>
          <w:sz w:val="19"/>
          <w:szCs w:val="19"/>
          <w:lang w:eastAsia="fr-FR"/>
        </w:rPr>
        <w:br/>
        <w:t>« La mission d'évaluation de l'agence est effectuée à travers des études transversales ou ciblées, qui peuvent prendre la forme d'une évaluation d'ensemble de l'activité de l'organisme contrôlé, dans ses aspects administratifs, techniques, sociaux et financiers.</w:t>
      </w:r>
      <w:r w:rsidRPr="00874A27">
        <w:rPr>
          <w:rFonts w:ascii="Arial" w:eastAsia="Times New Roman" w:hAnsi="Arial" w:cs="Arial"/>
          <w:color w:val="000000"/>
          <w:sz w:val="19"/>
          <w:szCs w:val="19"/>
          <w:lang w:eastAsia="fr-FR"/>
        </w:rPr>
        <w:br/>
        <w:t>« II. ― L'agence exerce ses missions sur :</w:t>
      </w:r>
      <w:r w:rsidRPr="00874A27">
        <w:rPr>
          <w:rFonts w:ascii="Arial" w:eastAsia="Times New Roman" w:hAnsi="Arial" w:cs="Arial"/>
          <w:color w:val="000000"/>
          <w:sz w:val="19"/>
          <w:szCs w:val="19"/>
          <w:lang w:eastAsia="fr-FR"/>
        </w:rPr>
        <w:br/>
        <w:t>« 1° Les organismes d'habitations à loyer modéré mentionnés à l'article L. 411-2 ;</w:t>
      </w:r>
      <w:r w:rsidRPr="00874A27">
        <w:rPr>
          <w:rFonts w:ascii="Arial" w:eastAsia="Times New Roman" w:hAnsi="Arial" w:cs="Arial"/>
          <w:color w:val="000000"/>
          <w:sz w:val="19"/>
          <w:szCs w:val="19"/>
          <w:lang w:eastAsia="fr-FR"/>
        </w:rPr>
        <w:br/>
        <w:t>« 2° Les sociétés d'économie mixte exerçant une activité de construction et de gestion de logements sociaux mentionnées à l'article L. 481-1 pour les logements à usage locatif et les logements-foyers relevant du domaine d'application de l'aide personnalisée au logement, défini à l'article L. 351-2, ou, dans les départements d'outre-mer, construits, acquis ou améliorés avec le concours financier de l'Etat en application de l'article L. 472-1-1 ;</w:t>
      </w:r>
      <w:r w:rsidRPr="00874A27">
        <w:rPr>
          <w:rFonts w:ascii="Arial" w:eastAsia="Times New Roman" w:hAnsi="Arial" w:cs="Arial"/>
          <w:color w:val="000000"/>
          <w:sz w:val="19"/>
          <w:szCs w:val="19"/>
          <w:lang w:eastAsia="fr-FR"/>
        </w:rPr>
        <w:br/>
        <w:t>« 3° Les organismes bénéficiant de l'agrément prévu à l'article L. 365-2 pour les logements locatifs sociaux mentionnés à l'article L. 302-5, à l'exception de ceux détenant ou gérant uniquement des logements conventionnés mentionnés à l'article L. 321-8 ;</w:t>
      </w:r>
      <w:r w:rsidRPr="00874A27">
        <w:rPr>
          <w:rFonts w:ascii="Arial" w:eastAsia="Times New Roman" w:hAnsi="Arial" w:cs="Arial"/>
          <w:color w:val="000000"/>
          <w:sz w:val="19"/>
          <w:szCs w:val="19"/>
          <w:lang w:eastAsia="fr-FR"/>
        </w:rPr>
        <w:br/>
        <w:t>« 4° Toute autre personne morale, quel qu'en soit le statut, ou personne physique exerçant une activité de construction ou de gestion d'un ou plusieurs logements locatifs sociaux mentionnés à l'article L. 302-5, à l'exception de celles concernées uniquement au titre de logements conventionnés mentionnés à l'article L. 321-8 ;</w:t>
      </w:r>
      <w:r w:rsidRPr="00874A27">
        <w:rPr>
          <w:rFonts w:ascii="Arial" w:eastAsia="Times New Roman" w:hAnsi="Arial" w:cs="Arial"/>
          <w:color w:val="000000"/>
          <w:sz w:val="19"/>
          <w:szCs w:val="19"/>
          <w:lang w:eastAsia="fr-FR"/>
        </w:rPr>
        <w:br/>
        <w:t>« 5° Les organismes agréés aux fins de collecter la participation des employeurs à l'effort de construction mentionnés à l'article L. 313-1, l'Union des entreprises et des salariés pour le logement, l'association pour l'accès aux garanties locatives mentionnée à l'article L. 313-33, l'association foncière logement mentionnée à l'article L. 313-34 du présent code, ainsi que les organismes soumis à leur contrôle, au sens du </w:t>
      </w:r>
      <w:hyperlink r:id="rId433" w:history="1">
        <w:r w:rsidRPr="00874A27">
          <w:rPr>
            <w:rFonts w:ascii="Arial" w:eastAsia="Times New Roman" w:hAnsi="Arial" w:cs="Arial"/>
            <w:color w:val="336699"/>
            <w:sz w:val="19"/>
            <w:szCs w:val="19"/>
            <w:u w:val="single"/>
            <w:lang w:eastAsia="fr-FR"/>
          </w:rPr>
          <w:t>III de l'article L. 430-1 du code de commerce </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6° Les organismes qui bénéficient, directement ou indirectement, de concours financiers des organismes collecteurs agréés ou de l'Union des entreprises et des salariés pour le logement, à l'exclusion de l'Agence nationale pour la rénovation urbaine, de l'Agence nationale d'information sur le logement et des agences départementales d'information sur le logement ;</w:t>
      </w:r>
      <w:r w:rsidRPr="00874A27">
        <w:rPr>
          <w:rFonts w:ascii="Arial" w:eastAsia="Times New Roman" w:hAnsi="Arial" w:cs="Arial"/>
          <w:color w:val="000000"/>
          <w:sz w:val="19"/>
          <w:szCs w:val="19"/>
          <w:lang w:eastAsia="fr-FR"/>
        </w:rPr>
        <w:br/>
        <w:t>« 7° Les groupements d'intérêt économique constitués en application du chapitre Ier du titre V du livre II du code de commerce et toute autre structure de coopération, quel qu'en soit le statut, visant à faciliter ou à développer l'activité de leurs membres, qui comprennent, directement ou indirectement, au moins un organisme mentionné aux 1° à 6° du présent II parmi leurs membres.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Section 2</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Saisine par d'autres autorités ou organismes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342-3.-La Caisse de garantie du logement locatif social, les collectivités territoriales et les établissements publics de coopération intercommunale peuvent saisir l'Agence nationale de contrôle du logement social pour contrôler les opérations et les écritures des organismes mentionnés aux 1° à 3° du II de l'article L. 342-2 auxquels ils ont accordé des prêts ou des aides ou dont ils ont garanti les emprunts.</w:t>
      </w:r>
      <w:r w:rsidRPr="00874A27">
        <w:rPr>
          <w:rFonts w:ascii="Arial" w:eastAsia="Times New Roman" w:hAnsi="Arial" w:cs="Arial"/>
          <w:color w:val="000000"/>
          <w:sz w:val="19"/>
          <w:szCs w:val="19"/>
          <w:lang w:eastAsia="fr-FR"/>
        </w:rPr>
        <w:br/>
        <w:t>« Le représentant de l'Etat dans le département saisit l'agence des manquements aux obligations de toute nature incombant aux organismes mentionnés au même II dont il a pu avoir connaissance.</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La Caisse de garantie du logement locatif social reçoit communication des rapports définitifs de l'agence.</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Section 3</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Modalités d'exercice des missions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342-4.-Le contrôle s'exerce sur pièces ou sur place. L'organisme ou la personne contrôlée est averti du contrôle sur place, dont il fait l'objet, avant l'engagement des opérations.</w:t>
      </w:r>
      <w:r w:rsidRPr="00874A27">
        <w:rPr>
          <w:rFonts w:ascii="Arial" w:eastAsia="Times New Roman" w:hAnsi="Arial" w:cs="Arial"/>
          <w:color w:val="000000"/>
          <w:sz w:val="19"/>
          <w:szCs w:val="19"/>
          <w:lang w:eastAsia="fr-FR"/>
        </w:rPr>
        <w:br/>
        <w:t>« Les personnels chargés du contrôle ont accès à tous documents, justificatifs ou renseignements. L'agence peut étendre ses investigations aux sociétés et organismes dans lesquels l'organisme détient une participation directe ou indirecte ainsi qu'aux sociétés détenues majoritairement et de façon conjointe par cet organisme et d'autres organismes.</w:t>
      </w:r>
      <w:r w:rsidRPr="00874A27">
        <w:rPr>
          <w:rFonts w:ascii="Arial" w:eastAsia="Times New Roman" w:hAnsi="Arial" w:cs="Arial"/>
          <w:color w:val="000000"/>
          <w:sz w:val="19"/>
          <w:szCs w:val="19"/>
          <w:lang w:eastAsia="fr-FR"/>
        </w:rPr>
        <w:br/>
        <w:t>« Les personnels chargés du contrôle sur place peuvent, dans l'intérêt exclusif de ce contrôle, consulter, dans les bureaux des entrepreneurs ou architectes ayant traité avec des organismes soumis à ce même contrôle, tous documents comptables, contrats, copies de lettre, pièces de recettes et de dépenses.</w:t>
      </w:r>
      <w:r w:rsidRPr="00874A27">
        <w:rPr>
          <w:rFonts w:ascii="Arial" w:eastAsia="Times New Roman" w:hAnsi="Arial" w:cs="Arial"/>
          <w:color w:val="000000"/>
          <w:sz w:val="19"/>
          <w:szCs w:val="19"/>
          <w:lang w:eastAsia="fr-FR"/>
        </w:rPr>
        <w:br/>
        <w:t>« L'Union des entreprises et des salariés pour le logement est informée des contrôles visant les organismes mentionnés au 5° du II de l'article L. 342-2 ainsi que des suites qui leur sont données.</w:t>
      </w:r>
      <w:r w:rsidRPr="00874A27">
        <w:rPr>
          <w:rFonts w:ascii="Arial" w:eastAsia="Times New Roman" w:hAnsi="Arial" w:cs="Arial"/>
          <w:color w:val="000000"/>
          <w:sz w:val="19"/>
          <w:szCs w:val="19"/>
          <w:lang w:eastAsia="fr-FR"/>
        </w:rPr>
        <w:br/>
        <w:t>« Art. L. 342-5.-L'agence peut demander tous les documents, données ou justifications nécessaires à l'exercice de ses missions mentionnées à l'article L. 342-1.</w:t>
      </w:r>
      <w:r w:rsidRPr="00874A27">
        <w:rPr>
          <w:rFonts w:ascii="Arial" w:eastAsia="Times New Roman" w:hAnsi="Arial" w:cs="Arial"/>
          <w:color w:val="000000"/>
          <w:sz w:val="19"/>
          <w:szCs w:val="19"/>
          <w:lang w:eastAsia="fr-FR"/>
        </w:rPr>
        <w:br/>
        <w:t>« Art. L. 342-6.-L'agence peut communiquer à l'administration fiscale, spontanément ou à la demande de cette dernière, sans que puisse être opposé le secret professionnel, tous les renseignements et documents recueillis dans le cadre de ses missions mentionnées à l'article L. 342-1.</w:t>
      </w:r>
      <w:r w:rsidRPr="00874A27">
        <w:rPr>
          <w:rFonts w:ascii="Arial" w:eastAsia="Times New Roman" w:hAnsi="Arial" w:cs="Arial"/>
          <w:color w:val="000000"/>
          <w:sz w:val="19"/>
          <w:szCs w:val="19"/>
          <w:lang w:eastAsia="fr-FR"/>
        </w:rPr>
        <w:br/>
        <w:t>« Art. L. 342-7.-I. ― L'agence peut demander aux commissaires aux comptes des organismes soumis à son contrôle la communication de toute information recueillie dans le cadre de leur mission.</w:t>
      </w:r>
      <w:r w:rsidRPr="00874A27">
        <w:rPr>
          <w:rFonts w:ascii="Arial" w:eastAsia="Times New Roman" w:hAnsi="Arial" w:cs="Arial"/>
          <w:color w:val="000000"/>
          <w:sz w:val="19"/>
          <w:szCs w:val="19"/>
          <w:lang w:eastAsia="fr-FR"/>
        </w:rPr>
        <w:br/>
        <w:t>« L'agence peut, en outre, transmettre des observations écrites sur les sociétés qu'ils contrôlent aux commissaires aux comptes, qui sont alors tenus d'apporter des réponses en cette forme.</w:t>
      </w:r>
      <w:r w:rsidRPr="00874A27">
        <w:rPr>
          <w:rFonts w:ascii="Arial" w:eastAsia="Times New Roman" w:hAnsi="Arial" w:cs="Arial"/>
          <w:color w:val="000000"/>
          <w:sz w:val="19"/>
          <w:szCs w:val="19"/>
          <w:lang w:eastAsia="fr-FR"/>
        </w:rPr>
        <w:br/>
        <w:t>« II. ― Les commissaires aux comptes sont tenus de signaler dans les meilleurs délais à l'agence tout fait ou décision concernant la personne soumise à son contrôle dont ils ont eu connaissance dans l'exercice de leur mission, de nature à :</w:t>
      </w:r>
      <w:r w:rsidRPr="00874A27">
        <w:rPr>
          <w:rFonts w:ascii="Arial" w:eastAsia="Times New Roman" w:hAnsi="Arial" w:cs="Arial"/>
          <w:color w:val="000000"/>
          <w:sz w:val="19"/>
          <w:szCs w:val="19"/>
          <w:lang w:eastAsia="fr-FR"/>
        </w:rPr>
        <w:br/>
        <w:t>« 1° Constituer une violation des dispositions législatives ou réglementaires applicables à cette personne et susceptible d'avoir des effets significatifs sur sa situation financière, sa solvabilité, son résultat ou son patrimoine ;</w:t>
      </w:r>
      <w:r w:rsidRPr="00874A27">
        <w:rPr>
          <w:rFonts w:ascii="Arial" w:eastAsia="Times New Roman" w:hAnsi="Arial" w:cs="Arial"/>
          <w:color w:val="000000"/>
          <w:sz w:val="19"/>
          <w:szCs w:val="19"/>
          <w:lang w:eastAsia="fr-FR"/>
        </w:rPr>
        <w:br/>
        <w:t>« 2° Porter atteinte à la continuité de son exploitation ;</w:t>
      </w:r>
      <w:r w:rsidRPr="00874A27">
        <w:rPr>
          <w:rFonts w:ascii="Arial" w:eastAsia="Times New Roman" w:hAnsi="Arial" w:cs="Arial"/>
          <w:color w:val="000000"/>
          <w:sz w:val="19"/>
          <w:szCs w:val="19"/>
          <w:lang w:eastAsia="fr-FR"/>
        </w:rPr>
        <w:br/>
        <w:t>« 3° Imposer l'émission de réserves ou le refus de la certification de ses comptes.</w:t>
      </w:r>
      <w:r w:rsidRPr="00874A27">
        <w:rPr>
          <w:rFonts w:ascii="Arial" w:eastAsia="Times New Roman" w:hAnsi="Arial" w:cs="Arial"/>
          <w:color w:val="000000"/>
          <w:sz w:val="19"/>
          <w:szCs w:val="19"/>
          <w:lang w:eastAsia="fr-FR"/>
        </w:rPr>
        <w:br/>
        <w:t>« La même obligation s'applique aux faits et aux décisions mentionnés aux 1° à 3° dont les commissaires aux comptes viendraient à avoir connaissance dans l'exercice de leur mission auprès d'une société mère ou d'une filiale de la personne contrôlée.</w:t>
      </w:r>
      <w:r w:rsidRPr="00874A27">
        <w:rPr>
          <w:rFonts w:ascii="Arial" w:eastAsia="Times New Roman" w:hAnsi="Arial" w:cs="Arial"/>
          <w:color w:val="000000"/>
          <w:sz w:val="19"/>
          <w:szCs w:val="19"/>
          <w:lang w:eastAsia="fr-FR"/>
        </w:rPr>
        <w:br/>
        <w:t>« III. ― Pour l'application de la présente section, les commissaires aux comptes sont déliés du secret professionnel à l'égard de l'agence ; leur responsabilité ne peut être engagée pour les informations ou signalements de faits auxquels ils procèdent en exécution des obligations prévues par la présente section.</w:t>
      </w:r>
      <w:r w:rsidRPr="00874A27">
        <w:rPr>
          <w:rFonts w:ascii="Arial" w:eastAsia="Times New Roman" w:hAnsi="Arial" w:cs="Arial"/>
          <w:color w:val="000000"/>
          <w:sz w:val="19"/>
          <w:szCs w:val="19"/>
          <w:lang w:eastAsia="fr-FR"/>
        </w:rPr>
        <w:br/>
        <w:t>« Art. L. 342-8.-Lorsqu'elle a connaissance d'une infraction ou d'un manquement aux dispositions législatives ou réglementaires applicables aux commissaires aux comptes commis par un commissaire aux comptes d'une personne soumise à son contrôle, l'agence peut demander au tribunal compétent de relever celui-ci de ses fonctions, selon les modalités prévues à l'</w:t>
      </w:r>
      <w:hyperlink r:id="rId434" w:history="1">
        <w:r w:rsidRPr="00874A27">
          <w:rPr>
            <w:rFonts w:ascii="Arial" w:eastAsia="Times New Roman" w:hAnsi="Arial" w:cs="Arial"/>
            <w:color w:val="336699"/>
            <w:sz w:val="19"/>
            <w:szCs w:val="19"/>
            <w:u w:val="single"/>
            <w:lang w:eastAsia="fr-FR"/>
          </w:rPr>
          <w:t>article L. 823-7 du code de commerce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L'agence peut également dénoncer cette infraction ou ce manquement au ministère public compétent pour engager des poursuites disciplinaires. A cette fin, elle peut lui communiquer tous les renseignements qu'elle estime nécessaires à sa bonne information.</w:t>
      </w:r>
      <w:r w:rsidRPr="00874A27">
        <w:rPr>
          <w:rFonts w:ascii="Arial" w:eastAsia="Times New Roman" w:hAnsi="Arial" w:cs="Arial"/>
          <w:color w:val="000000"/>
          <w:sz w:val="19"/>
          <w:szCs w:val="19"/>
          <w:lang w:eastAsia="fr-FR"/>
        </w:rPr>
        <w:br/>
        <w:t>« Elle peut communiquer au Haut Conseil du commissariat aux comptes tout renseignement qu'elle estime nécessaire à la bonne information de celui-ci.</w:t>
      </w:r>
      <w:r w:rsidRPr="00874A27">
        <w:rPr>
          <w:rFonts w:ascii="Arial" w:eastAsia="Times New Roman" w:hAnsi="Arial" w:cs="Arial"/>
          <w:color w:val="000000"/>
          <w:sz w:val="19"/>
          <w:szCs w:val="19"/>
          <w:lang w:eastAsia="fr-FR"/>
        </w:rPr>
        <w:br/>
        <w:t>« Art. L. 342-9.-Le rapport provisoire est communiqué à la personne concernée, au président ou au dirigeant de l'organisme concerné, qui est mis en mesure de présenter ses observations dans un délai d'un mois.</w:t>
      </w:r>
      <w:r w:rsidRPr="00874A27">
        <w:rPr>
          <w:rFonts w:ascii="Arial" w:eastAsia="Times New Roman" w:hAnsi="Arial" w:cs="Arial"/>
          <w:color w:val="000000"/>
          <w:sz w:val="19"/>
          <w:szCs w:val="19"/>
          <w:lang w:eastAsia="fr-FR"/>
        </w:rPr>
        <w:br/>
        <w:t>« Le rapport définitif et, le cas échéant, les observations de l'organisme contrôlé et les suites apportées au contrôle sont communiqués au conseil de surveillance, au conseil d'administration ou à l'organe délibérant en tenant lieu et soumis à délibération à sa plus proche réunion.</w:t>
      </w:r>
      <w:r w:rsidRPr="00874A27">
        <w:rPr>
          <w:rFonts w:ascii="Arial" w:eastAsia="Times New Roman" w:hAnsi="Arial" w:cs="Arial"/>
          <w:color w:val="000000"/>
          <w:sz w:val="19"/>
          <w:szCs w:val="19"/>
          <w:lang w:eastAsia="fr-FR"/>
        </w:rPr>
        <w:br/>
        <w:t>« S'il s'agit d'un organisme collecteur agréé mentionné au deuxième alinéa de l'article L. 313-18, l'agence communique également ces informations à l'Union des entreprises et des salariés pour le logement.</w:t>
      </w:r>
      <w:r w:rsidRPr="00874A27">
        <w:rPr>
          <w:rFonts w:ascii="Arial" w:eastAsia="Times New Roman" w:hAnsi="Arial" w:cs="Arial"/>
          <w:color w:val="000000"/>
          <w:sz w:val="19"/>
          <w:szCs w:val="19"/>
          <w:lang w:eastAsia="fr-FR"/>
        </w:rPr>
        <w:br/>
        <w:t xml:space="preserve">« Art. L. 342-10.-L'Agence nationale de contrôle du logement social adresse au ministre chargé du </w:t>
      </w:r>
      <w:r w:rsidRPr="00874A27">
        <w:rPr>
          <w:rFonts w:ascii="Arial" w:eastAsia="Times New Roman" w:hAnsi="Arial" w:cs="Arial"/>
          <w:color w:val="000000"/>
          <w:sz w:val="19"/>
          <w:szCs w:val="19"/>
          <w:lang w:eastAsia="fr-FR"/>
        </w:rPr>
        <w:lastRenderedPageBreak/>
        <w:t>logement un rapport public annuel dans lequel elle expose les principales conclusions de ses contrôles. Préalablement, l'agence informe l'Union sociale pour l'habitat regroupant les fédérations d'organismes d'habitations à loyer modéré, les fédérations d'organismes d'habitations à loyer modéré, l'Union des entreprises et des salariés pour le logement, ainsi que les organismes ayant fait l'objet des contrôles des observations qu'elle envisage d'y insérer et les invite à lui faire part de leurs réponses. Ces réponses sont jointes au rapport.</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Section 4</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Suite des contrôles et sanctions</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342-11.-Le fait de faire obstacle aux contrôles de l'agence rend passible, après mise en demeure restée vaine, l'organisme ou la personne contrôlée d'une sanction pécuniaire maximale de 15 000 €. Cette pénalité est prononcée par le ministre chargé du logement et recouvrée comme en matière d'impôts directs. Son produit est versé à l'agence.</w:t>
      </w:r>
      <w:r w:rsidRPr="00874A27">
        <w:rPr>
          <w:rFonts w:ascii="Arial" w:eastAsia="Times New Roman" w:hAnsi="Arial" w:cs="Arial"/>
          <w:color w:val="000000"/>
          <w:sz w:val="19"/>
          <w:szCs w:val="19"/>
          <w:lang w:eastAsia="fr-FR"/>
        </w:rPr>
        <w:br/>
        <w:t>« En cas de méconnaissance d'une obligation de déclaration ou de transmission d'états, de documents ou de données demandés par l'agence, celle-ci peut, après l'avoir mis en mesure de présenter ses observations, mettre en demeure la personne ou l'organisme concerné de se conformer à ses obligations.</w:t>
      </w:r>
      <w:r w:rsidRPr="00874A27">
        <w:rPr>
          <w:rFonts w:ascii="Arial" w:eastAsia="Times New Roman" w:hAnsi="Arial" w:cs="Arial"/>
          <w:color w:val="000000"/>
          <w:sz w:val="19"/>
          <w:szCs w:val="19"/>
          <w:lang w:eastAsia="fr-FR"/>
        </w:rPr>
        <w:br/>
        <w:t>« Art. L. 342-12.-En cas de manquements aux dispositions législatives et réglementaires qui lui sont applicables, d'irrégularité dans l'emploi des fonds de la participation à l'effort de construction ou des subventions, prêts ou avantages consentis par l'Etat ou par ses établissements publics et par les collectivités territoriales ou leurs établissements publics, de faute grave de gestion, de carence dans la réalisation de l'objet social ou de non-respect des conditions d'agrément constatés, l'agence demande à l'organisme ou la personne contrôlée de présenter ses observations et, le cas échéant, le met en demeure de procéder à la rectification des irrégularités dans un délai déterminé.</w:t>
      </w:r>
      <w:r w:rsidRPr="00874A27">
        <w:rPr>
          <w:rFonts w:ascii="Arial" w:eastAsia="Times New Roman" w:hAnsi="Arial" w:cs="Arial"/>
          <w:color w:val="000000"/>
          <w:sz w:val="19"/>
          <w:szCs w:val="19"/>
          <w:lang w:eastAsia="fr-FR"/>
        </w:rPr>
        <w:br/>
        <w:t>« L'agence informe l'Union des entreprises et des salariés pour le logement lorsque la mise en demeure concerne un organisme collecteur agréé mentionné au deuxième alinéa de l'article L. 313-18 ou une de ses filiales.</w:t>
      </w:r>
      <w:r w:rsidRPr="00874A27">
        <w:rPr>
          <w:rFonts w:ascii="Arial" w:eastAsia="Times New Roman" w:hAnsi="Arial" w:cs="Arial"/>
          <w:color w:val="000000"/>
          <w:sz w:val="19"/>
          <w:szCs w:val="19"/>
          <w:lang w:eastAsia="fr-FR"/>
        </w:rPr>
        <w:br/>
        <w:t>« Art. L. 342-13.-La mise en demeure mentionnée au second alinéa de l'article L. 342-11 peut être assortie d'une astreinte dont le montant, qui ne peut excéder 70 € par jour de retard, et la date d'effet sont fixés par l'agence. L'astreinte s'applique dans la limite d'un plafond de 10 000 €.</w:t>
      </w:r>
      <w:r w:rsidRPr="00874A27">
        <w:rPr>
          <w:rFonts w:ascii="Arial" w:eastAsia="Times New Roman" w:hAnsi="Arial" w:cs="Arial"/>
          <w:color w:val="000000"/>
          <w:sz w:val="19"/>
          <w:szCs w:val="19"/>
          <w:lang w:eastAsia="fr-FR"/>
        </w:rPr>
        <w:br/>
        <w:t>« La mise en demeure mentionnée au premier alinéa de l'article L. 342-12 peut être assortie d'une astreinte dont le montant, qui ne peut excéder 500 € par jour de retard, et la date d'effet sont fixés par l'agence. L'astreinte s'applique dans la limite d'un plafond de 100 000 €.</w:t>
      </w:r>
      <w:r w:rsidRPr="00874A27">
        <w:rPr>
          <w:rFonts w:ascii="Arial" w:eastAsia="Times New Roman" w:hAnsi="Arial" w:cs="Arial"/>
          <w:color w:val="000000"/>
          <w:sz w:val="19"/>
          <w:szCs w:val="19"/>
          <w:lang w:eastAsia="fr-FR"/>
        </w:rPr>
        <w:br/>
        <w:t>« Les astreintes sont recouvrées comme en matière d'impôts directs. Leur produit est versé à l'agence.</w:t>
      </w:r>
      <w:r w:rsidRPr="00874A27">
        <w:rPr>
          <w:rFonts w:ascii="Arial" w:eastAsia="Times New Roman" w:hAnsi="Arial" w:cs="Arial"/>
          <w:color w:val="000000"/>
          <w:sz w:val="19"/>
          <w:szCs w:val="19"/>
          <w:lang w:eastAsia="fr-FR"/>
        </w:rPr>
        <w:br/>
        <w:t>« Art. L. 342-14.-I. ― Après que la personne ou l'organisme a été mis en mesure de présenter ses observations en application de l'article L. 342-12 ou, en cas de mise en demeure, à l'issue du délai mentionné à ce même article, l'agence peut proposer au ministre chargé du logement de prononcer les sanctions suivantes :</w:t>
      </w:r>
      <w:r w:rsidRPr="00874A27">
        <w:rPr>
          <w:rFonts w:ascii="Arial" w:eastAsia="Times New Roman" w:hAnsi="Arial" w:cs="Arial"/>
          <w:color w:val="000000"/>
          <w:sz w:val="19"/>
          <w:szCs w:val="19"/>
          <w:lang w:eastAsia="fr-FR"/>
        </w:rPr>
        <w:br/>
        <w:t>« 1° Une sanction pécuniaire, qui ne peut excéder deux millions d'euros. Toutefois :</w:t>
      </w:r>
      <w:r w:rsidRPr="00874A27">
        <w:rPr>
          <w:rFonts w:ascii="Arial" w:eastAsia="Times New Roman" w:hAnsi="Arial" w:cs="Arial"/>
          <w:color w:val="000000"/>
          <w:sz w:val="19"/>
          <w:szCs w:val="19"/>
          <w:lang w:eastAsia="fr-FR"/>
        </w:rPr>
        <w:br/>
        <w:t>« a) En cas de non-respect, pour un ou plusieurs logements, des règles d'attribution et d'affectation de logements prévues au présent code, sans préjudice de la restitution, le cas échéant, de l'aide publique, elle ne peut excéder dix-huit mois du loyer en principal du ou des logements concernés ;</w:t>
      </w:r>
      <w:r w:rsidRPr="00874A27">
        <w:rPr>
          <w:rFonts w:ascii="Arial" w:eastAsia="Times New Roman" w:hAnsi="Arial" w:cs="Arial"/>
          <w:color w:val="000000"/>
          <w:sz w:val="19"/>
          <w:szCs w:val="19"/>
          <w:lang w:eastAsia="fr-FR"/>
        </w:rPr>
        <w:br/>
        <w:t>« b) En cas de non-respect des règles d'application du supplément de loyer de solidarité prévu à l'article L. 441-3, elle est prononcée dans les limites prévues par la convention conclue avec l'Etat et des montants mentionnés à l'article L. 441-11 ;</w:t>
      </w:r>
      <w:r w:rsidRPr="00874A27">
        <w:rPr>
          <w:rFonts w:ascii="Arial" w:eastAsia="Times New Roman" w:hAnsi="Arial" w:cs="Arial"/>
          <w:color w:val="000000"/>
          <w:sz w:val="19"/>
          <w:szCs w:val="19"/>
          <w:lang w:eastAsia="fr-FR"/>
        </w:rPr>
        <w:br/>
        <w:t>« 2° S'il s'agit d'un organisme d'habitations à loyer modéré mentionné à l'article L. 411-2, d'un groupement d'intérêt économique ou de toute autre structure de mutualisation comprenant un organisme d'habitations à loyer modéré mentionné au même article L. 411-2 :</w:t>
      </w:r>
      <w:r w:rsidRPr="00874A27">
        <w:rPr>
          <w:rFonts w:ascii="Arial" w:eastAsia="Times New Roman" w:hAnsi="Arial" w:cs="Arial"/>
          <w:color w:val="000000"/>
          <w:sz w:val="19"/>
          <w:szCs w:val="19"/>
          <w:lang w:eastAsia="fr-FR"/>
        </w:rPr>
        <w:br/>
        <w:t>« a) La suspension d'un ou plusieurs dirigeants ou membres du conseil d'administration, du conseil de surveillance ou du directoire d'un organisme, pour une durée allant jusqu'à la prochaine assemblée générale et au maximum pour un an. Toutefois, dans le cas où l'intéressé a été déféré devant un tribunal répressif pour le même motif, la suspension ne prend fin qu'après décision définitive de la juridiction compétente ;</w:t>
      </w:r>
      <w:r w:rsidRPr="00874A27">
        <w:rPr>
          <w:rFonts w:ascii="Arial" w:eastAsia="Times New Roman" w:hAnsi="Arial" w:cs="Arial"/>
          <w:color w:val="000000"/>
          <w:sz w:val="19"/>
          <w:szCs w:val="19"/>
          <w:lang w:eastAsia="fr-FR"/>
        </w:rPr>
        <w:br/>
        <w:t>« b) La suspension du conseil d'administration, du conseil de surveillance ou du directoire d'un organisme et la nomination d'un administrateur provisoire, auquel est transféré l'ensemble des pouvoirs d'administration, de direction et de représentation du conseil d'administration, de son président et des administrateurs, à l'exception des pouvoirs expressément attribués par la loi aux assemblées d'actionnaires.</w:t>
      </w:r>
      <w:r w:rsidRPr="00874A27">
        <w:rPr>
          <w:rFonts w:ascii="Arial" w:eastAsia="Times New Roman" w:hAnsi="Arial" w:cs="Arial"/>
          <w:color w:val="000000"/>
          <w:sz w:val="19"/>
          <w:szCs w:val="19"/>
          <w:lang w:eastAsia="fr-FR"/>
        </w:rPr>
        <w:br/>
        <w:t xml:space="preserve">« Il est mis fin dans les mêmes conditions à la mission de l'administrateur provisoire. La durée de l'administration provisoire ne peut excéder deux ans à compter de la décision ministérielle. Au terme de l'administration provisoire, il est procédé soit à la désignation d'un nouveau conseil d'administration, </w:t>
      </w:r>
      <w:r w:rsidRPr="00874A27">
        <w:rPr>
          <w:rFonts w:ascii="Arial" w:eastAsia="Times New Roman" w:hAnsi="Arial" w:cs="Arial"/>
          <w:color w:val="000000"/>
          <w:sz w:val="19"/>
          <w:szCs w:val="19"/>
          <w:lang w:eastAsia="fr-FR"/>
        </w:rPr>
        <w:lastRenderedPageBreak/>
        <w:t>soit à la dissolution de l'organisme ;</w:t>
      </w:r>
      <w:r w:rsidRPr="00874A27">
        <w:rPr>
          <w:rFonts w:ascii="Arial" w:eastAsia="Times New Roman" w:hAnsi="Arial" w:cs="Arial"/>
          <w:color w:val="000000"/>
          <w:sz w:val="19"/>
          <w:szCs w:val="19"/>
          <w:lang w:eastAsia="fr-FR"/>
        </w:rPr>
        <w:br/>
        <w:t>« c) L'interdiction, pour une durée d'au plus dix ans, à un ou plusieurs membres ou anciens membres du conseil d'administration, du conseil de surveillance ou du directoire de participer au conseil d'administration, au conseil de surveillance ou au directoire d'un organisme mentionné au II de l'article L. 342-2 ;</w:t>
      </w:r>
      <w:r w:rsidRPr="00874A27">
        <w:rPr>
          <w:rFonts w:ascii="Arial" w:eastAsia="Times New Roman" w:hAnsi="Arial" w:cs="Arial"/>
          <w:color w:val="000000"/>
          <w:sz w:val="19"/>
          <w:szCs w:val="19"/>
          <w:lang w:eastAsia="fr-FR"/>
        </w:rPr>
        <w:br/>
        <w:t>« d) La révocation d'un ou plusieurs dirigeants ou membres du conseil d'administration, du conseil de surveillance ou du directoire ;</w:t>
      </w:r>
      <w:r w:rsidRPr="00874A27">
        <w:rPr>
          <w:rFonts w:ascii="Arial" w:eastAsia="Times New Roman" w:hAnsi="Arial" w:cs="Arial"/>
          <w:color w:val="000000"/>
          <w:sz w:val="19"/>
          <w:szCs w:val="19"/>
          <w:lang w:eastAsia="fr-FR"/>
        </w:rPr>
        <w:br/>
        <w:t>« e) Le retrait, pour une durée qui ne peut excéder cinq ans, de la possibilité pour l'organisme d'exercer une ou plusieurs de ses compétences ;</w:t>
      </w:r>
      <w:r w:rsidRPr="00874A27">
        <w:rPr>
          <w:rFonts w:ascii="Arial" w:eastAsia="Times New Roman" w:hAnsi="Arial" w:cs="Arial"/>
          <w:color w:val="000000"/>
          <w:sz w:val="19"/>
          <w:szCs w:val="19"/>
          <w:lang w:eastAsia="fr-FR"/>
        </w:rPr>
        <w:br/>
        <w:t>« f) La dissolution de l'organisme et la nomination d'un liquidateur. En cas de dissolution, le boni de liquidation ne peut être attribué qu'à un organisme de même nature désigné par le ministre chargé du logement ;</w:t>
      </w:r>
      <w:r w:rsidRPr="00874A27">
        <w:rPr>
          <w:rFonts w:ascii="Arial" w:eastAsia="Times New Roman" w:hAnsi="Arial" w:cs="Arial"/>
          <w:color w:val="000000"/>
          <w:sz w:val="19"/>
          <w:szCs w:val="19"/>
          <w:lang w:eastAsia="fr-FR"/>
        </w:rPr>
        <w:br/>
        <w:t>« 3° a) S'il s'agit d'une société d'économie mixte exerçant une activité de construction et de gestion de logements sociaux, d'un organisme bénéficiant de l'agrément prévu à l'article L. 365-2, d'un groupement d'intérêt économique ou de toute autre structure de mutualisation comprenant une telle société ou un tel organisme :</w:t>
      </w:r>
      <w:r w:rsidRPr="00874A27">
        <w:rPr>
          <w:rFonts w:ascii="Arial" w:eastAsia="Times New Roman" w:hAnsi="Arial" w:cs="Arial"/>
          <w:color w:val="000000"/>
          <w:sz w:val="19"/>
          <w:szCs w:val="19"/>
          <w:lang w:eastAsia="fr-FR"/>
        </w:rPr>
        <w:br/>
        <w:t>« ― la suspension d'un ou de plusieurs dirigeants ou membres du conseil d'administration, du conseil de surveillance ou du directoire jusqu'à la prochaine assemblée générale et au maximum pour un an. Toutefois, dans le cas où l'intéressé a été déféré à un tribunal répressif pour le même motif, la suspension ne prend fin qu'après décision définitive de la juridiction compétente ;</w:t>
      </w:r>
      <w:r w:rsidRPr="00874A27">
        <w:rPr>
          <w:rFonts w:ascii="Arial" w:eastAsia="Times New Roman" w:hAnsi="Arial" w:cs="Arial"/>
          <w:color w:val="000000"/>
          <w:sz w:val="19"/>
          <w:szCs w:val="19"/>
          <w:lang w:eastAsia="fr-FR"/>
        </w:rPr>
        <w:br/>
        <w:t>« ― le retrait de son agrément ;</w:t>
      </w:r>
      <w:r w:rsidRPr="00874A27">
        <w:rPr>
          <w:rFonts w:ascii="Arial" w:eastAsia="Times New Roman" w:hAnsi="Arial" w:cs="Arial"/>
          <w:color w:val="000000"/>
          <w:sz w:val="19"/>
          <w:szCs w:val="19"/>
          <w:lang w:eastAsia="fr-FR"/>
        </w:rPr>
        <w:br/>
        <w:t>« ― l'interdiction à un ou plusieurs membres ou anciens membres du conseil d'administration, du conseil de surveillance ou du directoire de participer au conseil d'administration, au conseil de surveillance ou au directoire d'un organisme mentionné au II de l'article L. 342-2 ;</w:t>
      </w:r>
      <w:r w:rsidRPr="00874A27">
        <w:rPr>
          <w:rFonts w:ascii="Arial" w:eastAsia="Times New Roman" w:hAnsi="Arial" w:cs="Arial"/>
          <w:color w:val="000000"/>
          <w:sz w:val="19"/>
          <w:szCs w:val="19"/>
          <w:lang w:eastAsia="fr-FR"/>
        </w:rPr>
        <w:br/>
        <w:t>« ― la révocation d'un ou de plusieurs dirigeants ou membres du conseil d'administration, du conseil de surveillance ou du directoire ;</w:t>
      </w:r>
      <w:r w:rsidRPr="00874A27">
        <w:rPr>
          <w:rFonts w:ascii="Arial" w:eastAsia="Times New Roman" w:hAnsi="Arial" w:cs="Arial"/>
          <w:color w:val="000000"/>
          <w:sz w:val="19"/>
          <w:szCs w:val="19"/>
          <w:lang w:eastAsia="fr-FR"/>
        </w:rPr>
        <w:br/>
        <w:t>« b) S'il s'agit d'une société d'économie mixte exerçant une activité de construction et de gestion de logements sociaux, la nomination d'un administrateur chargé de céder les logements à usage locatif et les logements-foyers conventionnés dans les conditions définies à l'article L. 351-2 ou, dans les départements d'outre-mer, construits, acquis ou améliorés avec le concours financier de l'Etat ;</w:t>
      </w:r>
      <w:r w:rsidRPr="00874A27">
        <w:rPr>
          <w:rFonts w:ascii="Arial" w:eastAsia="Times New Roman" w:hAnsi="Arial" w:cs="Arial"/>
          <w:color w:val="000000"/>
          <w:sz w:val="19"/>
          <w:szCs w:val="19"/>
          <w:lang w:eastAsia="fr-FR"/>
        </w:rPr>
        <w:br/>
        <w:t>« c) S'il s'agit d'un organisme bénéficiant de l'agrément prévu à l'article L. 365-2, la nomination d'un administrateur chargé de céder les logements à usage locatif sociaux mentionnés à l'article L. 302-5 ;</w:t>
      </w:r>
      <w:r w:rsidRPr="00874A27">
        <w:rPr>
          <w:rFonts w:ascii="Arial" w:eastAsia="Times New Roman" w:hAnsi="Arial" w:cs="Arial"/>
          <w:color w:val="000000"/>
          <w:sz w:val="19"/>
          <w:szCs w:val="19"/>
          <w:lang w:eastAsia="fr-FR"/>
        </w:rPr>
        <w:br/>
        <w:t>« 4° S'il s'agit d'une autre personne morale ou d'une personne physique mentionnée au 4° du II de l'article L. 342-2, l'interdiction pour la personne concernée de bénéficier de tout concours ou aide de l'Etat ou d'un établissement public de l'Etat, d'une collectivité territoriale ou d'un établissement public local pour la construction, l'acquisition ou la réhabilitation de logements à usage locatif ;</w:t>
      </w:r>
      <w:r w:rsidRPr="00874A27">
        <w:rPr>
          <w:rFonts w:ascii="Arial" w:eastAsia="Times New Roman" w:hAnsi="Arial" w:cs="Arial"/>
          <w:color w:val="000000"/>
          <w:sz w:val="19"/>
          <w:szCs w:val="19"/>
          <w:lang w:eastAsia="fr-FR"/>
        </w:rPr>
        <w:br/>
        <w:t>« 5° S'il s'agit d'un organisme collecteur agréé à collecter la participation des employeurs à l'effort de construction, le retrait de l'agrément à collecter la participation des employeurs à l'effort de construction ;</w:t>
      </w:r>
      <w:r w:rsidRPr="00874A27">
        <w:rPr>
          <w:rFonts w:ascii="Arial" w:eastAsia="Times New Roman" w:hAnsi="Arial" w:cs="Arial"/>
          <w:color w:val="000000"/>
          <w:sz w:val="19"/>
          <w:szCs w:val="19"/>
          <w:lang w:eastAsia="fr-FR"/>
        </w:rPr>
        <w:br/>
        <w:t>« 6° S'il s'agit d'un organisme collecteur agréé mentionné au deuxième alinéa de l'article L. 313-18, d'un groupement d'intérêt économique ou de toute autre structure de mutualisation comprenant un organisme collecteur agréé mentionné au même deuxième alinéa :</w:t>
      </w:r>
      <w:r w:rsidRPr="00874A27">
        <w:rPr>
          <w:rFonts w:ascii="Arial" w:eastAsia="Times New Roman" w:hAnsi="Arial" w:cs="Arial"/>
          <w:color w:val="000000"/>
          <w:sz w:val="19"/>
          <w:szCs w:val="19"/>
          <w:lang w:eastAsia="fr-FR"/>
        </w:rPr>
        <w:br/>
        <w:t>« a) La suspension d'un ou de plusieurs dirigeants ou membres du conseil d'administration jusqu'à la prochaine assemblée générale et au maximum pour un an ;</w:t>
      </w:r>
      <w:r w:rsidRPr="00874A27">
        <w:rPr>
          <w:rFonts w:ascii="Arial" w:eastAsia="Times New Roman" w:hAnsi="Arial" w:cs="Arial"/>
          <w:color w:val="000000"/>
          <w:sz w:val="19"/>
          <w:szCs w:val="19"/>
          <w:lang w:eastAsia="fr-FR"/>
        </w:rPr>
        <w:br/>
        <w:t>« b) La suspension du conseil d'administration jusqu'à la prochaine assemblée générale et au maximum pour un an. Dans ce cas, le ministre chargé du logement peut nommer un administrateur provisoire ;</w:t>
      </w:r>
      <w:r w:rsidRPr="00874A27">
        <w:rPr>
          <w:rFonts w:ascii="Arial" w:eastAsia="Times New Roman" w:hAnsi="Arial" w:cs="Arial"/>
          <w:color w:val="000000"/>
          <w:sz w:val="19"/>
          <w:szCs w:val="19"/>
          <w:lang w:eastAsia="fr-FR"/>
        </w:rPr>
        <w:br/>
        <w:t>« c) La révocation d'un ou de plusieurs dirigeants ou membres du conseil d'administration ;</w:t>
      </w:r>
      <w:r w:rsidRPr="00874A27">
        <w:rPr>
          <w:rFonts w:ascii="Arial" w:eastAsia="Times New Roman" w:hAnsi="Arial" w:cs="Arial"/>
          <w:color w:val="000000"/>
          <w:sz w:val="19"/>
          <w:szCs w:val="19"/>
          <w:lang w:eastAsia="fr-FR"/>
        </w:rPr>
        <w:br/>
        <w:t>« d) L'interdiction, pour une durée d'au plus dix ans, pour un ou plusieurs membres ou anciens membres des organes dirigeants de participer au conseil d'administration, au conseil de surveillance ou au directoire d'un organisme mentionné au II de l'article L. 342-2 ;</w:t>
      </w:r>
      <w:r w:rsidRPr="00874A27">
        <w:rPr>
          <w:rFonts w:ascii="Arial" w:eastAsia="Times New Roman" w:hAnsi="Arial" w:cs="Arial"/>
          <w:color w:val="000000"/>
          <w:sz w:val="19"/>
          <w:szCs w:val="19"/>
          <w:lang w:eastAsia="fr-FR"/>
        </w:rPr>
        <w:br/>
        <w:t>« 7° S'il s'agit de l'Union des entreprises et des salariés pour le logement, de l'association pour l'accès aux garanties locatives mentionnée à l'article L. 313-33 ou de l'association foncière logement mentionnée à l'article L. 313-34, l'interdiction, pour une durée d'au plus dix ans, pour un ou plusieurs membres ou anciens membres des organes dirigeants de participer aux organes dirigeants d'un organisme mentionné au II de l'article L. 342-2 ;</w:t>
      </w:r>
      <w:r w:rsidRPr="00874A27">
        <w:rPr>
          <w:rFonts w:ascii="Arial" w:eastAsia="Times New Roman" w:hAnsi="Arial" w:cs="Arial"/>
          <w:color w:val="000000"/>
          <w:sz w:val="19"/>
          <w:szCs w:val="19"/>
          <w:lang w:eastAsia="fr-FR"/>
        </w:rPr>
        <w:br/>
        <w:t>« 8° S'il s'agit d'un organisme collecteur agréé autre que ceux mentionnés au deuxième alinéa de l'article L. 313-18, à l'exception de ceux de ces organismes qui sont mentionnés aux 1° ou 2° du II de l'article L. 342-2, la suspension des organes dirigeants jusqu'à la prochaine assemblée générale et au maximum pour un an, ou le prononcé de la démission d'office des membres ;</w:t>
      </w:r>
      <w:r w:rsidRPr="00874A27">
        <w:rPr>
          <w:rFonts w:ascii="Arial" w:eastAsia="Times New Roman" w:hAnsi="Arial" w:cs="Arial"/>
          <w:color w:val="000000"/>
          <w:sz w:val="19"/>
          <w:szCs w:val="19"/>
          <w:lang w:eastAsia="fr-FR"/>
        </w:rPr>
        <w:br/>
        <w:t>« 9° S'il s'agit d'un organisme bénéficiant de concours financiers à partir de ressources issues de la participation des employeurs à l'effort de construction, l'interdiction de bénéficier de tels concours pour une durée d'au plus dix ans ;</w:t>
      </w:r>
      <w:r w:rsidRPr="00874A27">
        <w:rPr>
          <w:rFonts w:ascii="Arial" w:eastAsia="Times New Roman" w:hAnsi="Arial" w:cs="Arial"/>
          <w:color w:val="000000"/>
          <w:sz w:val="19"/>
          <w:szCs w:val="19"/>
          <w:lang w:eastAsia="fr-FR"/>
        </w:rPr>
        <w:br/>
        <w:t xml:space="preserve">« 10° Le remboursement des aides d'Etat versées au titre de leur mission de service d'intérêt </w:t>
      </w:r>
      <w:r w:rsidRPr="00874A27">
        <w:rPr>
          <w:rFonts w:ascii="Arial" w:eastAsia="Times New Roman" w:hAnsi="Arial" w:cs="Arial"/>
          <w:color w:val="000000"/>
          <w:sz w:val="19"/>
          <w:szCs w:val="19"/>
          <w:lang w:eastAsia="fr-FR"/>
        </w:rPr>
        <w:lastRenderedPageBreak/>
        <w:t>économique général.</w:t>
      </w:r>
      <w:r w:rsidRPr="00874A27">
        <w:rPr>
          <w:rFonts w:ascii="Arial" w:eastAsia="Times New Roman" w:hAnsi="Arial" w:cs="Arial"/>
          <w:color w:val="000000"/>
          <w:sz w:val="19"/>
          <w:szCs w:val="19"/>
          <w:lang w:eastAsia="fr-FR"/>
        </w:rPr>
        <w:br/>
        <w:t>« II. ― Par dérogation au I, lorsque la sanction concerne un office public de l'habitat ou une société d'économie mixte, elle est prise conjointement par les ministres chargés du logement et des collectivités territoriales, dans les mêmes conditions.</w:t>
      </w:r>
      <w:r w:rsidRPr="00874A27">
        <w:rPr>
          <w:rFonts w:ascii="Arial" w:eastAsia="Times New Roman" w:hAnsi="Arial" w:cs="Arial"/>
          <w:color w:val="000000"/>
          <w:sz w:val="19"/>
          <w:szCs w:val="19"/>
          <w:lang w:eastAsia="fr-FR"/>
        </w:rPr>
        <w:br/>
        <w:t>« Art. L. 342-15.-En cas d'urgence, le ministre chargé du logement peut, après avis de l'agence rendu dans un délai qui ne peut excéder huit jours et après avoir mis en demeure l'organisme ou la personne concernée de présenter ses observations, prononcer les sanctions mentionnées aux a et b des 1° et 2°, au deuxième alinéa du a du 3°, au 4°, aux a et b du 6° et au 8° du I de l'article L. 342-14.</w:t>
      </w:r>
      <w:r w:rsidRPr="00874A27">
        <w:rPr>
          <w:rFonts w:ascii="Arial" w:eastAsia="Times New Roman" w:hAnsi="Arial" w:cs="Arial"/>
          <w:color w:val="000000"/>
          <w:sz w:val="19"/>
          <w:szCs w:val="19"/>
          <w:lang w:eastAsia="fr-FR"/>
        </w:rPr>
        <w:br/>
        <w:t>« Par dérogation, lorsque la sanction concerne un office public de l'habitat ou une société d'économie mixte, elle est prise conjointement par les ministres chargés du logement et des collectivités territoriales.</w:t>
      </w:r>
      <w:r w:rsidRPr="00874A27">
        <w:rPr>
          <w:rFonts w:ascii="Arial" w:eastAsia="Times New Roman" w:hAnsi="Arial" w:cs="Arial"/>
          <w:color w:val="000000"/>
          <w:sz w:val="19"/>
          <w:szCs w:val="19"/>
          <w:lang w:eastAsia="fr-FR"/>
        </w:rPr>
        <w:br/>
        <w:t>« Art. L. 342-16.-Les sanctions mentionnées aux I et II de l'article L. 342-14 sont fixées en fonction de la gravité des faits reprochés, de la situation financière et de la taille de l'organisme. Les sanctions pécuniaires sont recouvrées comme en matière d'impôts directs. Leur produit est versé à l'agence.</w:t>
      </w:r>
      <w:r w:rsidRPr="00874A27">
        <w:rPr>
          <w:rFonts w:ascii="Arial" w:eastAsia="Times New Roman" w:hAnsi="Arial" w:cs="Arial"/>
          <w:color w:val="000000"/>
          <w:sz w:val="19"/>
          <w:szCs w:val="19"/>
          <w:lang w:eastAsia="fr-FR"/>
        </w:rPr>
        <w:br/>
        <w:t>« Les décisions de sanction prises en application des articles L. 342-14 et L. 342-15 sont communiquées au conseil d'administration ou au conseil de surveillance et au directoire de l'organisme ou à l'organe dirigeant, dès sa plus proche réunion.</w:t>
      </w:r>
      <w:r w:rsidRPr="00874A27">
        <w:rPr>
          <w:rFonts w:ascii="Arial" w:eastAsia="Times New Roman" w:hAnsi="Arial" w:cs="Arial"/>
          <w:color w:val="000000"/>
          <w:sz w:val="19"/>
          <w:szCs w:val="19"/>
          <w:lang w:eastAsia="fr-FR"/>
        </w:rPr>
        <w:br/>
        <w:t>« Les sanctions prononcées à l'encontre d'un organisme collecteur agréé mentionné au deuxième alinéa de l'article L. 313-18 sont prises après avis de l'Union des entreprises et des salariés pour le logement lorsqu'elles sanctionnent les cas où l'organisme ne souscrit pas sa quote-part au capital de l'union, ne s'acquitte pas des contributions prévues aux articles L. 313-20 et L. 313-25, réalise des opérations en méconnaissance du 8° de l'article L. 313-19 ou manque, de manière grave et répétée, aux directives de l'union. L'union est informée de l'ensemble des sanctions prononcées à l'encontre d'un organisme collecteur agréé mentionné au deuxième alinéa de l'article L. 313-18.</w:t>
      </w:r>
      <w:r w:rsidRPr="00874A27">
        <w:rPr>
          <w:rFonts w:ascii="Arial" w:eastAsia="Times New Roman" w:hAnsi="Arial" w:cs="Arial"/>
          <w:color w:val="000000"/>
          <w:sz w:val="19"/>
          <w:szCs w:val="19"/>
          <w:lang w:eastAsia="fr-FR"/>
        </w:rPr>
        <w:br/>
        <w:t>« Les décisions de sanction prononcées en application des articles L. 342-14 et L. 342-15 sont susceptibles d'un recours de pleine juridiction devant le Conseil d'Etat.</w:t>
      </w:r>
      <w:r w:rsidRPr="00874A27">
        <w:rPr>
          <w:rFonts w:ascii="Arial" w:eastAsia="Times New Roman" w:hAnsi="Arial" w:cs="Arial"/>
          <w:color w:val="000000"/>
          <w:sz w:val="19"/>
          <w:szCs w:val="19"/>
          <w:lang w:eastAsia="fr-FR"/>
        </w:rPr>
        <w:br/>
        <w:t>« Art. L. 342-17.-Les modalités des contrôles et de gestion de leurs suites sont précisées par décret en Conseil d'Etat.</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Section 5</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Organisation de l'agence</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342-18.-L'agence est administrée par un conseil d'administration composé de quatre représentants de l'Etat et de trois personnalités qualifiées, désignées en raison de leurs compétences en matière de logement, d'audit ou d'évaluation des politiques publiques.</w:t>
      </w:r>
      <w:r w:rsidRPr="00874A27">
        <w:rPr>
          <w:rFonts w:ascii="Arial" w:eastAsia="Times New Roman" w:hAnsi="Arial" w:cs="Arial"/>
          <w:color w:val="000000"/>
          <w:sz w:val="19"/>
          <w:szCs w:val="19"/>
          <w:lang w:eastAsia="fr-FR"/>
        </w:rPr>
        <w:br/>
        <w:t>« La composition du conseil d'administration de l'agence favorise la parité entre les femmes et les hommes. Un décret fixe les conditions dans lesquelles est assurée cette parité.</w:t>
      </w:r>
      <w:r w:rsidRPr="00874A27">
        <w:rPr>
          <w:rFonts w:ascii="Arial" w:eastAsia="Times New Roman" w:hAnsi="Arial" w:cs="Arial"/>
          <w:color w:val="000000"/>
          <w:sz w:val="19"/>
          <w:szCs w:val="19"/>
          <w:lang w:eastAsia="fr-FR"/>
        </w:rPr>
        <w:br/>
        <w:t>« Le président du conseil d'administration de l'agence est nommé par décret.</w:t>
      </w:r>
      <w:r w:rsidRPr="00874A27">
        <w:rPr>
          <w:rFonts w:ascii="Arial" w:eastAsia="Times New Roman" w:hAnsi="Arial" w:cs="Arial"/>
          <w:color w:val="000000"/>
          <w:sz w:val="19"/>
          <w:szCs w:val="19"/>
          <w:lang w:eastAsia="fr-FR"/>
        </w:rPr>
        <w:br/>
        <w:t>« L'agence est dirigée par un directeur général nommé par arrêté du ministre chargé du logement.</w:t>
      </w:r>
      <w:r w:rsidRPr="00874A27">
        <w:rPr>
          <w:rFonts w:ascii="Arial" w:eastAsia="Times New Roman" w:hAnsi="Arial" w:cs="Arial"/>
          <w:color w:val="000000"/>
          <w:sz w:val="19"/>
          <w:szCs w:val="19"/>
          <w:lang w:eastAsia="fr-FR"/>
        </w:rPr>
        <w:br/>
        <w:t>« Art. L. 342-19.-I. ― Le personnel de l'Agence nationale de contrôle du logement social comprend :</w:t>
      </w:r>
      <w:r w:rsidRPr="00874A27">
        <w:rPr>
          <w:rFonts w:ascii="Arial" w:eastAsia="Times New Roman" w:hAnsi="Arial" w:cs="Arial"/>
          <w:color w:val="000000"/>
          <w:sz w:val="19"/>
          <w:szCs w:val="19"/>
          <w:lang w:eastAsia="fr-FR"/>
        </w:rPr>
        <w:br/>
        <w:t>« 1° Des fonctionnaires de l'Etat ;</w:t>
      </w:r>
      <w:r w:rsidRPr="00874A27">
        <w:rPr>
          <w:rFonts w:ascii="Arial" w:eastAsia="Times New Roman" w:hAnsi="Arial" w:cs="Arial"/>
          <w:color w:val="000000"/>
          <w:sz w:val="19"/>
          <w:szCs w:val="19"/>
          <w:lang w:eastAsia="fr-FR"/>
        </w:rPr>
        <w:br/>
        <w:t>« 2° Des agents non titulaires de droit public ;</w:t>
      </w:r>
      <w:r w:rsidRPr="00874A27">
        <w:rPr>
          <w:rFonts w:ascii="Arial" w:eastAsia="Times New Roman" w:hAnsi="Arial" w:cs="Arial"/>
          <w:color w:val="000000"/>
          <w:sz w:val="19"/>
          <w:szCs w:val="19"/>
          <w:lang w:eastAsia="fr-FR"/>
        </w:rPr>
        <w:br/>
        <w:t>« 3° Des salariés régis par le </w:t>
      </w:r>
      <w:hyperlink r:id="rId435" w:history="1">
        <w:r w:rsidRPr="00874A27">
          <w:rPr>
            <w:rFonts w:ascii="Arial" w:eastAsia="Times New Roman" w:hAnsi="Arial" w:cs="Arial"/>
            <w:color w:val="336699"/>
            <w:sz w:val="19"/>
            <w:szCs w:val="19"/>
            <w:u w:val="single"/>
            <w:lang w:eastAsia="fr-FR"/>
          </w:rPr>
          <w:t>code du travail</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II. ― Les personnels chargés de réaliser les contrôles nécessaires à l'accomplissement des missions de l'agence font l'objet d'une habilitation par le ministre compétent.</w:t>
      </w:r>
      <w:r w:rsidRPr="00874A27">
        <w:rPr>
          <w:rFonts w:ascii="Arial" w:eastAsia="Times New Roman" w:hAnsi="Arial" w:cs="Arial"/>
          <w:color w:val="000000"/>
          <w:sz w:val="19"/>
          <w:szCs w:val="19"/>
          <w:lang w:eastAsia="fr-FR"/>
        </w:rPr>
        <w:br/>
        <w:t>« Les personnels chargés des contrôles sont astreints au secret professionnel, dans les conditions prévues aux articles </w:t>
      </w:r>
      <w:hyperlink r:id="rId436" w:history="1">
        <w:r w:rsidRPr="00874A27">
          <w:rPr>
            <w:rFonts w:ascii="Arial" w:eastAsia="Times New Roman" w:hAnsi="Arial" w:cs="Arial"/>
            <w:color w:val="336699"/>
            <w:sz w:val="19"/>
            <w:szCs w:val="19"/>
            <w:u w:val="single"/>
            <w:lang w:eastAsia="fr-FR"/>
          </w:rPr>
          <w:t>226-13 </w:t>
        </w:r>
      </w:hyperlink>
      <w:r w:rsidRPr="00874A27">
        <w:rPr>
          <w:rFonts w:ascii="Arial" w:eastAsia="Times New Roman" w:hAnsi="Arial" w:cs="Arial"/>
          <w:color w:val="000000"/>
          <w:sz w:val="19"/>
          <w:szCs w:val="19"/>
          <w:lang w:eastAsia="fr-FR"/>
        </w:rPr>
        <w:t>et </w:t>
      </w:r>
      <w:hyperlink r:id="rId437" w:history="1">
        <w:r w:rsidRPr="00874A27">
          <w:rPr>
            <w:rFonts w:ascii="Arial" w:eastAsia="Times New Roman" w:hAnsi="Arial" w:cs="Arial"/>
            <w:color w:val="336699"/>
            <w:sz w:val="19"/>
            <w:szCs w:val="19"/>
            <w:u w:val="single"/>
            <w:lang w:eastAsia="fr-FR"/>
          </w:rPr>
          <w:t>226-14 </w:t>
        </w:r>
      </w:hyperlink>
      <w:r w:rsidRPr="00874A27">
        <w:rPr>
          <w:rFonts w:ascii="Arial" w:eastAsia="Times New Roman" w:hAnsi="Arial" w:cs="Arial"/>
          <w:color w:val="000000"/>
          <w:sz w:val="19"/>
          <w:szCs w:val="19"/>
          <w:lang w:eastAsia="fr-FR"/>
        </w:rPr>
        <w:t>du code pénal. Ce secret ne peut leur être opposé, sauf par les auxiliaires de justice.</w:t>
      </w:r>
      <w:r w:rsidRPr="00874A27">
        <w:rPr>
          <w:rFonts w:ascii="Arial" w:eastAsia="Times New Roman" w:hAnsi="Arial" w:cs="Arial"/>
          <w:color w:val="000000"/>
          <w:sz w:val="19"/>
          <w:szCs w:val="19"/>
          <w:lang w:eastAsia="fr-FR"/>
        </w:rPr>
        <w:br/>
        <w:t>« III. ― Sont institués auprès du directeur général :</w:t>
      </w:r>
      <w:r w:rsidRPr="00874A27">
        <w:rPr>
          <w:rFonts w:ascii="Arial" w:eastAsia="Times New Roman" w:hAnsi="Arial" w:cs="Arial"/>
          <w:color w:val="000000"/>
          <w:sz w:val="19"/>
          <w:szCs w:val="19"/>
          <w:lang w:eastAsia="fr-FR"/>
        </w:rPr>
        <w:br/>
        <w:t>« 1° Un comité technique compétent pour les personnels mentionnés aux 1° et 2° du I, conformément à l'</w:t>
      </w:r>
      <w:hyperlink r:id="rId438" w:history="1">
        <w:r w:rsidRPr="00874A27">
          <w:rPr>
            <w:rFonts w:ascii="Arial" w:eastAsia="Times New Roman" w:hAnsi="Arial" w:cs="Arial"/>
            <w:color w:val="336699"/>
            <w:sz w:val="19"/>
            <w:szCs w:val="19"/>
            <w:u w:val="single"/>
            <w:lang w:eastAsia="fr-FR"/>
          </w:rPr>
          <w:t>article 15 de la loi n° 84-16 du 11 janvier 1984 </w:t>
        </w:r>
      </w:hyperlink>
      <w:r w:rsidRPr="00874A27">
        <w:rPr>
          <w:rFonts w:ascii="Arial" w:eastAsia="Times New Roman" w:hAnsi="Arial" w:cs="Arial"/>
          <w:color w:val="000000"/>
          <w:sz w:val="19"/>
          <w:szCs w:val="19"/>
          <w:lang w:eastAsia="fr-FR"/>
        </w:rPr>
        <w:t>portant dispositions statutaires relatives à la fonction publique de l'Etat ;</w:t>
      </w:r>
      <w:r w:rsidRPr="00874A27">
        <w:rPr>
          <w:rFonts w:ascii="Arial" w:eastAsia="Times New Roman" w:hAnsi="Arial" w:cs="Arial"/>
          <w:color w:val="000000"/>
          <w:sz w:val="19"/>
          <w:szCs w:val="19"/>
          <w:lang w:eastAsia="fr-FR"/>
        </w:rPr>
        <w:br/>
        <w:t>« 2° Un comité d'entreprise compétent pour les personnels mentionnés au 3° du I, conformément au titre II du livre III de la deuxième partie du code du travail.</w:t>
      </w:r>
      <w:r w:rsidRPr="00874A27">
        <w:rPr>
          <w:rFonts w:ascii="Arial" w:eastAsia="Times New Roman" w:hAnsi="Arial" w:cs="Arial"/>
          <w:color w:val="000000"/>
          <w:sz w:val="19"/>
          <w:szCs w:val="19"/>
          <w:lang w:eastAsia="fr-FR"/>
        </w:rPr>
        <w:br/>
        <w:t>« Le directeur général réunit conjointement le comité technique et le comité d'entreprise, dans le respect de leurs attributions respectives, pour connaître des sujets communs à l'ensemble du personnel.</w:t>
      </w:r>
      <w:r w:rsidRPr="00874A27">
        <w:rPr>
          <w:rFonts w:ascii="Arial" w:eastAsia="Times New Roman" w:hAnsi="Arial" w:cs="Arial"/>
          <w:color w:val="000000"/>
          <w:sz w:val="19"/>
          <w:szCs w:val="19"/>
          <w:lang w:eastAsia="fr-FR"/>
        </w:rPr>
        <w:br/>
        <w:t>« IV. ― Il est institué auprès du directeur général de l'Agence nationale de contrôle du logement social un comité d'hygiène, de sécurité et des conditions de travail compétent pour l'ensemble du personnel de l'établissement. Ce comité exerce les compétences des comités prévus à l'</w:t>
      </w:r>
      <w:hyperlink r:id="rId439" w:history="1">
        <w:r w:rsidRPr="00874A27">
          <w:rPr>
            <w:rFonts w:ascii="Arial" w:eastAsia="Times New Roman" w:hAnsi="Arial" w:cs="Arial"/>
            <w:color w:val="336699"/>
            <w:sz w:val="19"/>
            <w:szCs w:val="19"/>
            <w:u w:val="single"/>
            <w:lang w:eastAsia="fr-FR"/>
          </w:rPr>
          <w:t>article 16 de la loi n° 84-16 du 11 janvier 1984 précitée</w:t>
        </w:r>
      </w:hyperlink>
      <w:r w:rsidRPr="00874A27">
        <w:rPr>
          <w:rFonts w:ascii="Arial" w:eastAsia="Times New Roman" w:hAnsi="Arial" w:cs="Arial"/>
          <w:color w:val="000000"/>
          <w:sz w:val="19"/>
          <w:szCs w:val="19"/>
          <w:lang w:eastAsia="fr-FR"/>
        </w:rPr>
        <w:t xml:space="preserve">, ainsi que celles prévues au chapitre II du titre Ier du livre VI de la quatrième partie du code du travail, sous réserve des adaptations fixées par décret en Conseil d'Etat. </w:t>
      </w:r>
      <w:r w:rsidRPr="00874A27">
        <w:rPr>
          <w:rFonts w:ascii="Arial" w:eastAsia="Times New Roman" w:hAnsi="Arial" w:cs="Arial"/>
          <w:color w:val="000000"/>
          <w:sz w:val="19"/>
          <w:szCs w:val="19"/>
          <w:lang w:eastAsia="fr-FR"/>
        </w:rPr>
        <w:lastRenderedPageBreak/>
        <w:t>Sa composition et son fonctionnement sont fixés par décret en Conseil d'Etat.</w:t>
      </w:r>
      <w:r w:rsidRPr="00874A27">
        <w:rPr>
          <w:rFonts w:ascii="Arial" w:eastAsia="Times New Roman" w:hAnsi="Arial" w:cs="Arial"/>
          <w:color w:val="000000"/>
          <w:sz w:val="19"/>
          <w:szCs w:val="19"/>
          <w:lang w:eastAsia="fr-FR"/>
        </w:rPr>
        <w:br/>
        <w:t>« Art. L. 342-20.-Les modalités d'organisation et de fonctionnement de l'agence sont précisées par décret en Conseil d'Etat.</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Section 6</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Financement des activités de l'agence</w:t>
      </w:r>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342-21.-Pour l'accomplissement de ses missions, l'Agence nationale de contrôle du logement social dispose des ressources suivantes :</w:t>
      </w:r>
      <w:r w:rsidRPr="00874A27">
        <w:rPr>
          <w:rFonts w:ascii="Arial" w:eastAsia="Times New Roman" w:hAnsi="Arial" w:cs="Arial"/>
          <w:color w:val="000000"/>
          <w:sz w:val="19"/>
          <w:szCs w:val="19"/>
          <w:lang w:eastAsia="fr-FR"/>
        </w:rPr>
        <w:br/>
        <w:t>« 1° Un prélèvement opéré chaque année à son bénéfice sur les ressources de la participation des employeurs à l'effort de construction mentionnées à l'article L. 313-3 ;</w:t>
      </w:r>
      <w:r w:rsidRPr="00874A27">
        <w:rPr>
          <w:rFonts w:ascii="Arial" w:eastAsia="Times New Roman" w:hAnsi="Arial" w:cs="Arial"/>
          <w:color w:val="000000"/>
          <w:sz w:val="19"/>
          <w:szCs w:val="19"/>
          <w:lang w:eastAsia="fr-FR"/>
        </w:rPr>
        <w:br/>
        <w:t>« 2° Une cotisation versée par les organismes d'habitations à loyer modéré, les organismes bénéficiant de l'agrément relatif à la maîtrise d'ouvrage prévu à l'article L. 365-2 et les sociétés d'économie mixte exerçant une activité locative sociale ;</w:t>
      </w:r>
      <w:r w:rsidRPr="00874A27">
        <w:rPr>
          <w:rFonts w:ascii="Arial" w:eastAsia="Times New Roman" w:hAnsi="Arial" w:cs="Arial"/>
          <w:color w:val="000000"/>
          <w:sz w:val="19"/>
          <w:szCs w:val="19"/>
          <w:lang w:eastAsia="fr-FR"/>
        </w:rPr>
        <w:br/>
        <w:t>« 3° Le produit des sanctions pécuniaires mentionnées aux articles L. 342-11 et L. 342-14 ;</w:t>
      </w:r>
      <w:r w:rsidRPr="00874A27">
        <w:rPr>
          <w:rFonts w:ascii="Arial" w:eastAsia="Times New Roman" w:hAnsi="Arial" w:cs="Arial"/>
          <w:color w:val="000000"/>
          <w:sz w:val="19"/>
          <w:szCs w:val="19"/>
          <w:lang w:eastAsia="fr-FR"/>
        </w:rPr>
        <w:br/>
        <w:t>« 4° Le produit des astreintes mentionnées à l'article L. 342-13 ;</w:t>
      </w:r>
      <w:r w:rsidRPr="00874A27">
        <w:rPr>
          <w:rFonts w:ascii="Arial" w:eastAsia="Times New Roman" w:hAnsi="Arial" w:cs="Arial"/>
          <w:color w:val="000000"/>
          <w:sz w:val="19"/>
          <w:szCs w:val="19"/>
          <w:lang w:eastAsia="fr-FR"/>
        </w:rPr>
        <w:br/>
        <w:t>« 5° Les contributions et subventions de l'Etat ;</w:t>
      </w:r>
      <w:r w:rsidRPr="00874A27">
        <w:rPr>
          <w:rFonts w:ascii="Arial" w:eastAsia="Times New Roman" w:hAnsi="Arial" w:cs="Arial"/>
          <w:color w:val="000000"/>
          <w:sz w:val="19"/>
          <w:szCs w:val="19"/>
          <w:lang w:eastAsia="fr-FR"/>
        </w:rPr>
        <w:br/>
        <w:t>« 6° Le produit des placements financiers qu'elle réalise.</w:t>
      </w:r>
      <w:r w:rsidRPr="00874A27">
        <w:rPr>
          <w:rFonts w:ascii="Arial" w:eastAsia="Times New Roman" w:hAnsi="Arial" w:cs="Arial"/>
          <w:color w:val="000000"/>
          <w:sz w:val="19"/>
          <w:szCs w:val="19"/>
          <w:lang w:eastAsia="fr-FR"/>
        </w:rPr>
        <w:br/>
        <w:t>« La cotisation mentionnée au 2° du présent article est assise sur les assiettes mentionnées aux deuxième et troisième alinéas de l'article L. 452-4. Son prélèvement est effectué, dans les conditions prévues aux articles L. 452-5 et L. 452-6, par la Caisse de garantie du logement locatif social, qui en reverse le montant à l'Agence nationale de contrôle du logement social, dans la limite du plafond prévu au </w:t>
      </w:r>
      <w:hyperlink r:id="rId440" w:history="1">
        <w:r w:rsidRPr="00874A27">
          <w:rPr>
            <w:rFonts w:ascii="Arial" w:eastAsia="Times New Roman" w:hAnsi="Arial" w:cs="Arial"/>
            <w:color w:val="336699"/>
            <w:sz w:val="19"/>
            <w:szCs w:val="19"/>
            <w:u w:val="single"/>
            <w:lang w:eastAsia="fr-FR"/>
          </w:rPr>
          <w:t>I de l'article 46 de la loi n° 2011-1977 du 28 décembre 2011 </w:t>
        </w:r>
      </w:hyperlink>
      <w:r w:rsidRPr="00874A27">
        <w:rPr>
          <w:rFonts w:ascii="Arial" w:eastAsia="Times New Roman" w:hAnsi="Arial" w:cs="Arial"/>
          <w:color w:val="000000"/>
          <w:sz w:val="19"/>
          <w:szCs w:val="19"/>
          <w:lang w:eastAsia="fr-FR"/>
        </w:rPr>
        <w:t>de finances pour 2012.</w:t>
      </w:r>
      <w:r w:rsidRPr="00874A27">
        <w:rPr>
          <w:rFonts w:ascii="Arial" w:eastAsia="Times New Roman" w:hAnsi="Arial" w:cs="Arial"/>
          <w:color w:val="000000"/>
          <w:sz w:val="19"/>
          <w:szCs w:val="19"/>
          <w:lang w:eastAsia="fr-FR"/>
        </w:rPr>
        <w:br/>
        <w:t>« Le montant du prélèvement prévu au 1° du présent article, qui ne peut excéder 10 millions d'euros, et le taux de la cotisation mentionnée au 2° du présent article, qui ne peut excéder 0,1 %, sont déterminés par arrêté conjoint des ministres chargés du logement, de l'économie et du budget. » ;</w:t>
      </w:r>
      <w:r w:rsidRPr="00874A27">
        <w:rPr>
          <w:rFonts w:ascii="Arial" w:eastAsia="Times New Roman" w:hAnsi="Arial" w:cs="Arial"/>
          <w:color w:val="000000"/>
          <w:sz w:val="19"/>
          <w:szCs w:val="19"/>
          <w:lang w:eastAsia="fr-FR"/>
        </w:rPr>
        <w:br/>
        <w:t>2° L'article L. 452-1 est complété par un alinéa ainsi rédigé :</w:t>
      </w:r>
      <w:r w:rsidRPr="00874A27">
        <w:rPr>
          <w:rFonts w:ascii="Arial" w:eastAsia="Times New Roman" w:hAnsi="Arial" w:cs="Arial"/>
          <w:color w:val="000000"/>
          <w:sz w:val="19"/>
          <w:szCs w:val="19"/>
          <w:lang w:eastAsia="fr-FR"/>
        </w:rPr>
        <w:br/>
        <w:t>« Elle effectue le prélèvement de la cotisation mentionnée à l'article L. 342-21 et en reverse le montant à l'Agence nationale de contrôle du logement social. » ;</w:t>
      </w:r>
      <w:r w:rsidRPr="00874A27">
        <w:rPr>
          <w:rFonts w:ascii="Arial" w:eastAsia="Times New Roman" w:hAnsi="Arial" w:cs="Arial"/>
          <w:color w:val="000000"/>
          <w:sz w:val="19"/>
          <w:szCs w:val="19"/>
          <w:lang w:eastAsia="fr-FR"/>
        </w:rPr>
        <w:br/>
        <w:t>3° Après l'article L. 313-35, il est inséré un article L. 313-35-1 ainsi rédigé :</w:t>
      </w:r>
      <w:r w:rsidRPr="00874A27">
        <w:rPr>
          <w:rFonts w:ascii="Arial" w:eastAsia="Times New Roman" w:hAnsi="Arial" w:cs="Arial"/>
          <w:color w:val="000000"/>
          <w:sz w:val="19"/>
          <w:szCs w:val="19"/>
          <w:lang w:eastAsia="fr-FR"/>
        </w:rPr>
        <w:br/>
        <w:t>« Art. L. 313-35-1.-Le ministre chargé du logement peut demander aux organismes collecteurs agréés mentionnés au deuxième alinéa de l'article L. 313-18 et à l'Union des entreprises et des salariés pour le logement de lui transmettre chaque année leurs données statistiques et comptables, dans des conditions définies par décret, pris après avis de l'Union des entreprises et des salariés pour le logement. » ;</w:t>
      </w:r>
      <w:r w:rsidRPr="00874A27">
        <w:rPr>
          <w:rFonts w:ascii="Arial" w:eastAsia="Times New Roman" w:hAnsi="Arial" w:cs="Arial"/>
          <w:color w:val="000000"/>
          <w:sz w:val="19"/>
          <w:szCs w:val="19"/>
          <w:lang w:eastAsia="fr-FR"/>
        </w:rPr>
        <w:br/>
        <w:t>4° Les articles L. 215-9, L. 215-10, L. 313-7, L. 313-10 à L. 313-13, L. 313-16-3, L. 365-6, L. 421-14, L. 422-6, L. 422-7, L. 451-1 à L. 451-3, L. 451-6 et L. 451-7 sont abrogés ;</w:t>
      </w:r>
      <w:r w:rsidRPr="00874A27">
        <w:rPr>
          <w:rFonts w:ascii="Arial" w:eastAsia="Times New Roman" w:hAnsi="Arial" w:cs="Arial"/>
          <w:color w:val="000000"/>
          <w:sz w:val="19"/>
          <w:szCs w:val="19"/>
          <w:lang w:eastAsia="fr-FR"/>
        </w:rPr>
        <w:br/>
        <w:t>5° La section 2 du chapitre III du titre Ier du livre III est supprimée ;</w:t>
      </w:r>
      <w:r w:rsidRPr="00874A27">
        <w:rPr>
          <w:rFonts w:ascii="Arial" w:eastAsia="Times New Roman" w:hAnsi="Arial" w:cs="Arial"/>
          <w:color w:val="000000"/>
          <w:sz w:val="19"/>
          <w:szCs w:val="19"/>
          <w:lang w:eastAsia="fr-FR"/>
        </w:rPr>
        <w:br/>
        <w:t>6° A l'article L. 313-14 et à la première phrase de l'article L. 313-16, le mot : « agence » est remplacé par les mots : « Agence nationale de contrôle du logement social » ;</w:t>
      </w:r>
      <w:r w:rsidRPr="00874A27">
        <w:rPr>
          <w:rFonts w:ascii="Arial" w:eastAsia="Times New Roman" w:hAnsi="Arial" w:cs="Arial"/>
          <w:color w:val="000000"/>
          <w:sz w:val="19"/>
          <w:szCs w:val="19"/>
          <w:lang w:eastAsia="fr-FR"/>
        </w:rPr>
        <w:br/>
        <w:t>7° Au deuxième alinéa de l'article L. 313-27 et à la fin de l'article L. 313-31, les mots : « pour la participation des employeurs à l'effort de construction » sont remplacés par les mots : « de contrôle du logement social » ;</w:t>
      </w:r>
      <w:r w:rsidRPr="00874A27">
        <w:rPr>
          <w:rFonts w:ascii="Arial" w:eastAsia="Times New Roman" w:hAnsi="Arial" w:cs="Arial"/>
          <w:color w:val="000000"/>
          <w:sz w:val="19"/>
          <w:szCs w:val="19"/>
          <w:lang w:eastAsia="fr-FR"/>
        </w:rPr>
        <w:br/>
        <w:t>8° L'article L. 353-11 est ainsi rédigé :</w:t>
      </w:r>
      <w:r w:rsidRPr="00874A27">
        <w:rPr>
          <w:rFonts w:ascii="Arial" w:eastAsia="Times New Roman" w:hAnsi="Arial" w:cs="Arial"/>
          <w:color w:val="000000"/>
          <w:sz w:val="19"/>
          <w:szCs w:val="19"/>
          <w:lang w:eastAsia="fr-FR"/>
        </w:rPr>
        <w:br/>
        <w:t>« Art. L. 353-11.-Le contrôle de l'application des conventions prévues au présent chapitre ainsi que, le cas échéant, le contrôle des engagements qui s'y substituent en application de l'article L. 445-2 est assuré par l'Agence nationale de contrôle du logement social. Les organismes mentionnés à l'article L. 351-8 sont tenus de lui fournir toutes les informations nécessaires à l'exercice de ce contrôle. Le représentant de l'Etat dans le département, constatant des irrégularités dans l'application desdites conventions, est tenu de saisir et d'en informer l'Agence nationale de contrôle du logement social. » ;</w:t>
      </w:r>
      <w:r w:rsidRPr="00874A27">
        <w:rPr>
          <w:rFonts w:ascii="Arial" w:eastAsia="Times New Roman" w:hAnsi="Arial" w:cs="Arial"/>
          <w:color w:val="000000"/>
          <w:sz w:val="19"/>
          <w:szCs w:val="19"/>
          <w:lang w:eastAsia="fr-FR"/>
        </w:rPr>
        <w:br/>
        <w:t>9° L'article L. 422-8 est ainsi modifié :</w:t>
      </w:r>
      <w:r w:rsidRPr="00874A27">
        <w:rPr>
          <w:rFonts w:ascii="Arial" w:eastAsia="Times New Roman" w:hAnsi="Arial" w:cs="Arial"/>
          <w:color w:val="000000"/>
          <w:sz w:val="19"/>
          <w:szCs w:val="19"/>
          <w:lang w:eastAsia="fr-FR"/>
        </w:rPr>
        <w:br/>
        <w:t>a) Les deux premiers alinéas sont supprimés ;</w:t>
      </w:r>
      <w:r w:rsidRPr="00874A27">
        <w:rPr>
          <w:rFonts w:ascii="Arial" w:eastAsia="Times New Roman" w:hAnsi="Arial" w:cs="Arial"/>
          <w:color w:val="000000"/>
          <w:sz w:val="19"/>
          <w:szCs w:val="19"/>
          <w:lang w:eastAsia="fr-FR"/>
        </w:rPr>
        <w:br/>
        <w:t>b) Au troisième alinéa, les mots : « cette durée » sont remplacés par les mots : « la durée de l'administration provisoire prévue à l'article L. 342-14 » ;</w:t>
      </w:r>
      <w:r w:rsidRPr="00874A27">
        <w:rPr>
          <w:rFonts w:ascii="Arial" w:eastAsia="Times New Roman" w:hAnsi="Arial" w:cs="Arial"/>
          <w:color w:val="000000"/>
          <w:sz w:val="19"/>
          <w:szCs w:val="19"/>
          <w:lang w:eastAsia="fr-FR"/>
        </w:rPr>
        <w:br/>
        <w:t>c) A la seconde phrase du cinquième alinéa, la référence : « L. 422-7 » est remplacée par la référence : « L. 342-14 » ;</w:t>
      </w:r>
      <w:r w:rsidRPr="00874A27">
        <w:rPr>
          <w:rFonts w:ascii="Arial" w:eastAsia="Times New Roman" w:hAnsi="Arial" w:cs="Arial"/>
          <w:color w:val="000000"/>
          <w:sz w:val="19"/>
          <w:szCs w:val="19"/>
          <w:lang w:eastAsia="fr-FR"/>
        </w:rPr>
        <w:br/>
        <w:t>d) A la fin de la première phrase du dernier alinéa, les mots : « de la construction et de l'habitation » sont remplacés par les mots : « du logement » ;</w:t>
      </w:r>
      <w:r w:rsidRPr="00874A27">
        <w:rPr>
          <w:rFonts w:ascii="Arial" w:eastAsia="Times New Roman" w:hAnsi="Arial" w:cs="Arial"/>
          <w:color w:val="000000"/>
          <w:sz w:val="19"/>
          <w:szCs w:val="19"/>
          <w:lang w:eastAsia="fr-FR"/>
        </w:rPr>
        <w:br/>
        <w:t>10° L'article L. 422-8-1 est ainsi modifié :</w:t>
      </w:r>
      <w:r w:rsidRPr="00874A27">
        <w:rPr>
          <w:rFonts w:ascii="Arial" w:eastAsia="Times New Roman" w:hAnsi="Arial" w:cs="Arial"/>
          <w:color w:val="000000"/>
          <w:sz w:val="19"/>
          <w:szCs w:val="19"/>
          <w:lang w:eastAsia="fr-FR"/>
        </w:rPr>
        <w:br/>
        <w:t>a) Au premier alinéa, la référence : « L. 422-7 » est remplacée par la référence : « L. 342-14 » ;</w:t>
      </w:r>
      <w:r w:rsidRPr="00874A27">
        <w:rPr>
          <w:rFonts w:ascii="Arial" w:eastAsia="Times New Roman" w:hAnsi="Arial" w:cs="Arial"/>
          <w:color w:val="000000"/>
          <w:sz w:val="19"/>
          <w:szCs w:val="19"/>
          <w:lang w:eastAsia="fr-FR"/>
        </w:rPr>
        <w:br/>
        <w:t>b) A la fin du second alinéa, les mots : « de l'autorité administrative » sont remplacés par les mots : « du ministre chargé du logement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11° A l'article L. 422-9, les mots : « l'autorité administrative peut » sont remplacés par les mots : « le ministre chargé du logement peut, sur proposition ou après avis de l'Agence nationale de contrôle du logement social, » ;</w:t>
      </w:r>
      <w:r w:rsidRPr="00874A27">
        <w:rPr>
          <w:rFonts w:ascii="Arial" w:eastAsia="Times New Roman" w:hAnsi="Arial" w:cs="Arial"/>
          <w:color w:val="000000"/>
          <w:sz w:val="19"/>
          <w:szCs w:val="19"/>
          <w:lang w:eastAsia="fr-FR"/>
        </w:rPr>
        <w:br/>
        <w:t>12° A l'article L. 422-10, les mots : « l'autorité administrative peut » sont remplacés par les mots : « le ministre chargé du logement peut, sur proposition ou après avis de l'Agence nationale de contrôle du logement social » ;</w:t>
      </w:r>
      <w:r w:rsidRPr="00874A27">
        <w:rPr>
          <w:rFonts w:ascii="Arial" w:eastAsia="Times New Roman" w:hAnsi="Arial" w:cs="Arial"/>
          <w:color w:val="000000"/>
          <w:sz w:val="19"/>
          <w:szCs w:val="19"/>
          <w:lang w:eastAsia="fr-FR"/>
        </w:rPr>
        <w:br/>
        <w:t>13° Le dernier alinéa de l'article L. 423-12 est ainsi modifié :</w:t>
      </w:r>
      <w:r w:rsidRPr="00874A27">
        <w:rPr>
          <w:rFonts w:ascii="Arial" w:eastAsia="Times New Roman" w:hAnsi="Arial" w:cs="Arial"/>
          <w:color w:val="000000"/>
          <w:sz w:val="19"/>
          <w:szCs w:val="19"/>
          <w:lang w:eastAsia="fr-FR"/>
        </w:rPr>
        <w:br/>
        <w:t>a) A la première phrase, la référence : « L. 422-6 » est remplacée par la référence : « L. 342-14 » et la référence : « l'article L. 422-8 » est remplacée par la référence : « ce même article » ;</w:t>
      </w:r>
      <w:r w:rsidRPr="00874A27">
        <w:rPr>
          <w:rFonts w:ascii="Arial" w:eastAsia="Times New Roman" w:hAnsi="Arial" w:cs="Arial"/>
          <w:color w:val="000000"/>
          <w:sz w:val="19"/>
          <w:szCs w:val="19"/>
          <w:lang w:eastAsia="fr-FR"/>
        </w:rPr>
        <w:br/>
        <w:t>b) A la fin de la seconde phrase, la référence : « de l'article L. 422-7 » est remplacée par la référence : « dudit article » ;</w:t>
      </w:r>
      <w:r w:rsidRPr="00874A27">
        <w:rPr>
          <w:rFonts w:ascii="Arial" w:eastAsia="Times New Roman" w:hAnsi="Arial" w:cs="Arial"/>
          <w:color w:val="000000"/>
          <w:sz w:val="19"/>
          <w:szCs w:val="19"/>
          <w:lang w:eastAsia="fr-FR"/>
        </w:rPr>
        <w:br/>
        <w:t>14° Au premier alinéa du I de l'article L. 423-17, les mots : « mentionnées au troisième alinéa de l'article L. 451-1, » sont supprimés ;</w:t>
      </w:r>
      <w:r w:rsidRPr="00874A27">
        <w:rPr>
          <w:rFonts w:ascii="Arial" w:eastAsia="Times New Roman" w:hAnsi="Arial" w:cs="Arial"/>
          <w:color w:val="000000"/>
          <w:sz w:val="19"/>
          <w:szCs w:val="19"/>
          <w:lang w:eastAsia="fr-FR"/>
        </w:rPr>
        <w:br/>
        <w:t>15° A l'article L. 432-6, les mots : « autorité administrative » sont remplacés par les mots : « Agence nationale de contrôle du logement social » ;</w:t>
      </w:r>
      <w:r w:rsidRPr="00874A27">
        <w:rPr>
          <w:rFonts w:ascii="Arial" w:eastAsia="Times New Roman" w:hAnsi="Arial" w:cs="Arial"/>
          <w:color w:val="000000"/>
          <w:sz w:val="19"/>
          <w:szCs w:val="19"/>
          <w:lang w:eastAsia="fr-FR"/>
        </w:rPr>
        <w:br/>
        <w:t>16° Les deux derniers alinéas de l'article L. 441-11 sont supprimés ;</w:t>
      </w:r>
      <w:r w:rsidRPr="00874A27">
        <w:rPr>
          <w:rFonts w:ascii="Arial" w:eastAsia="Times New Roman" w:hAnsi="Arial" w:cs="Arial"/>
          <w:color w:val="000000"/>
          <w:sz w:val="19"/>
          <w:szCs w:val="19"/>
          <w:lang w:eastAsia="fr-FR"/>
        </w:rPr>
        <w:br/>
        <w:t>17° A la fin du quatrième alinéa de l'article L. 443-7, les mots : « le représentant de l'Etat dans le département d'implantation de la commune où se situe le logement » sont remplacés par les mots : « l'Agence nationale de contrôle du logement social » ;</w:t>
      </w:r>
      <w:r w:rsidRPr="00874A27">
        <w:rPr>
          <w:rFonts w:ascii="Arial" w:eastAsia="Times New Roman" w:hAnsi="Arial" w:cs="Arial"/>
          <w:color w:val="000000"/>
          <w:sz w:val="19"/>
          <w:szCs w:val="19"/>
          <w:lang w:eastAsia="fr-FR"/>
        </w:rPr>
        <w:br/>
        <w:t>18° A l'article L. 472-1-2, les références : « L. 442-6-1, L. 442-6-5, L. 442-8-1, L. 442-8-2, L. 442-8-4, L. 451-1, L. 451-2 et L. 451-2-1 » sont remplacées par les références : « L. 442-6-5, L. 442-8-1, L. 442-8-2, L. 442-8-4 et L. 342-1 à L. 342-17 » ;</w:t>
      </w:r>
      <w:r w:rsidRPr="00874A27">
        <w:rPr>
          <w:rFonts w:ascii="Arial" w:eastAsia="Times New Roman" w:hAnsi="Arial" w:cs="Arial"/>
          <w:color w:val="000000"/>
          <w:sz w:val="19"/>
          <w:szCs w:val="19"/>
          <w:lang w:eastAsia="fr-FR"/>
        </w:rPr>
        <w:br/>
        <w:t>19° A la première phrase du dernier alinéa de l'article L. 481-1, le mot : « administration » est remplacé par les mots : « Agence nationale de contrôle du logement social » et les références : « L. 451-1, L. 451-2 et L. 451-2-1 » sont remplacées par les références : « L. 342-1 à L. 342-17 ».</w:t>
      </w:r>
      <w:r w:rsidRPr="00874A27">
        <w:rPr>
          <w:rFonts w:ascii="Arial" w:eastAsia="Times New Roman" w:hAnsi="Arial" w:cs="Arial"/>
          <w:color w:val="000000"/>
          <w:sz w:val="19"/>
          <w:szCs w:val="19"/>
          <w:lang w:eastAsia="fr-FR"/>
        </w:rPr>
        <w:br/>
        <w:t>II. ― A l'article L. 83 C du livre des procédures fiscales, la référence : « L. 451-3 » est remplacée par la référence : « L. 342-6 » et les mots : « l'administration chargée du contrôle prévu à l'article L. 451-1 » sont remplacés par les mots : « l'agence prévue à l'article L. 342-1 ».</w:t>
      </w:r>
      <w:r w:rsidRPr="00874A27">
        <w:rPr>
          <w:rFonts w:ascii="Arial" w:eastAsia="Times New Roman" w:hAnsi="Arial" w:cs="Arial"/>
          <w:color w:val="000000"/>
          <w:sz w:val="19"/>
          <w:szCs w:val="19"/>
          <w:lang w:eastAsia="fr-FR"/>
        </w:rPr>
        <w:br/>
        <w:t>III. ― A la </w:t>
      </w:r>
      <w:hyperlink r:id="rId441" w:history="1">
        <w:r w:rsidRPr="00874A27">
          <w:rPr>
            <w:rFonts w:ascii="Arial" w:eastAsia="Times New Roman" w:hAnsi="Arial" w:cs="Arial"/>
            <w:color w:val="336699"/>
            <w:sz w:val="19"/>
            <w:szCs w:val="19"/>
            <w:u w:val="single"/>
            <w:lang w:eastAsia="fr-FR"/>
          </w:rPr>
          <w:t>dernière phrase du second alinéa du V de l'article 51 de la loi n° 2003-710 du 1er août 2003 </w:t>
        </w:r>
      </w:hyperlink>
      <w:r w:rsidRPr="00874A27">
        <w:rPr>
          <w:rFonts w:ascii="Arial" w:eastAsia="Times New Roman" w:hAnsi="Arial" w:cs="Arial"/>
          <w:color w:val="000000"/>
          <w:sz w:val="19"/>
          <w:szCs w:val="19"/>
          <w:lang w:eastAsia="fr-FR"/>
        </w:rPr>
        <w:t>d'orientation et de programmation pour la ville et la rénovation urbaine la référence : « L. 422-7 » est remplacée par la référence : « L. 342-14 » et les mots : « et, le cas échéant, à l'article L. 422-8 du même code » sont supprimés.</w:t>
      </w:r>
      <w:r w:rsidRPr="00874A27">
        <w:rPr>
          <w:rFonts w:ascii="Arial" w:eastAsia="Times New Roman" w:hAnsi="Arial" w:cs="Arial"/>
          <w:color w:val="000000"/>
          <w:sz w:val="19"/>
          <w:szCs w:val="19"/>
          <w:lang w:eastAsia="fr-FR"/>
        </w:rPr>
        <w:br/>
        <w:t>IV. ― Le 2° de l'article L. 311-4 du code de justice administrative est ainsi modifié :</w:t>
      </w:r>
      <w:r w:rsidRPr="00874A27">
        <w:rPr>
          <w:rFonts w:ascii="Arial" w:eastAsia="Times New Roman" w:hAnsi="Arial" w:cs="Arial"/>
          <w:color w:val="000000"/>
          <w:sz w:val="19"/>
          <w:szCs w:val="19"/>
          <w:lang w:eastAsia="fr-FR"/>
        </w:rPr>
        <w:br/>
        <w:t>1° Au début, la référence : « De l'article L. 313-13 » est remplacée par les références : « Des articles L. 342-14 et L. 342-15 » ;</w:t>
      </w:r>
      <w:r w:rsidRPr="00874A27">
        <w:rPr>
          <w:rFonts w:ascii="Arial" w:eastAsia="Times New Roman" w:hAnsi="Arial" w:cs="Arial"/>
          <w:color w:val="000000"/>
          <w:sz w:val="19"/>
          <w:szCs w:val="19"/>
          <w:lang w:eastAsia="fr-FR"/>
        </w:rPr>
        <w:br/>
        <w:t>2° Sont ajoutés les mots : « ou conjointement par les ministres chargés du logement et des collectivités territoriales ».</w:t>
      </w:r>
      <w:r w:rsidRPr="00874A27">
        <w:rPr>
          <w:rFonts w:ascii="Arial" w:eastAsia="Times New Roman" w:hAnsi="Arial" w:cs="Arial"/>
          <w:color w:val="000000"/>
          <w:sz w:val="19"/>
          <w:szCs w:val="19"/>
          <w:lang w:eastAsia="fr-FR"/>
        </w:rPr>
        <w:br/>
        <w:t>V. ― Après la première ligne du tableau constituant le </w:t>
      </w:r>
      <w:hyperlink r:id="rId442" w:history="1">
        <w:r w:rsidRPr="00874A27">
          <w:rPr>
            <w:rFonts w:ascii="Arial" w:eastAsia="Times New Roman" w:hAnsi="Arial" w:cs="Arial"/>
            <w:color w:val="336699"/>
            <w:sz w:val="19"/>
            <w:szCs w:val="19"/>
            <w:u w:val="single"/>
            <w:lang w:eastAsia="fr-FR"/>
          </w:rPr>
          <w:t>second alinéa du I de l'article 46 de la loi n° 2011-1977 du 28 décembre 2011 </w:t>
        </w:r>
      </w:hyperlink>
      <w:r w:rsidRPr="00874A27">
        <w:rPr>
          <w:rFonts w:ascii="Arial" w:eastAsia="Times New Roman" w:hAnsi="Arial" w:cs="Arial"/>
          <w:color w:val="000000"/>
          <w:sz w:val="19"/>
          <w:szCs w:val="19"/>
          <w:lang w:eastAsia="fr-FR"/>
        </w:rPr>
        <w:t>de finances pour 2012, est insérée une ligne ainsi rédigée :</w:t>
      </w:r>
    </w:p>
    <w:tbl>
      <w:tblPr>
        <w:tblW w:w="0" w:type="auto"/>
        <w:jc w:val="center"/>
        <w:tblBorders>
          <w:top w:val="single" w:sz="12" w:space="0" w:color="0909B0"/>
          <w:left w:val="single" w:sz="12" w:space="0" w:color="0909B0"/>
          <w:bottom w:val="single" w:sz="12" w:space="0" w:color="0909B0"/>
          <w:right w:val="single" w:sz="12" w:space="0" w:color="0909B0"/>
        </w:tblBorders>
        <w:tblCellMar>
          <w:left w:w="0" w:type="dxa"/>
          <w:right w:w="0" w:type="dxa"/>
        </w:tblCellMar>
        <w:tblLook w:val="04A0" w:firstRow="1" w:lastRow="0" w:firstColumn="1" w:lastColumn="0" w:noHBand="0" w:noVBand="1"/>
      </w:tblPr>
      <w:tblGrid>
        <w:gridCol w:w="4458"/>
        <w:gridCol w:w="3464"/>
        <w:gridCol w:w="830"/>
      </w:tblGrid>
      <w:tr w:rsidR="00874A27" w:rsidRPr="00874A27" w:rsidTr="00874A27">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874A27" w:rsidRPr="00874A27" w:rsidRDefault="00874A27" w:rsidP="00874A27">
            <w:pPr>
              <w:spacing w:after="0" w:line="240" w:lineRule="auto"/>
              <w:jc w:val="center"/>
              <w:rPr>
                <w:rFonts w:ascii="Times New Roman" w:eastAsia="Times New Roman" w:hAnsi="Times New Roman" w:cs="Times New Roman"/>
                <w:color w:val="000000"/>
                <w:sz w:val="17"/>
                <w:szCs w:val="17"/>
                <w:lang w:eastAsia="fr-FR"/>
              </w:rPr>
            </w:pPr>
            <w:r w:rsidRPr="00874A27">
              <w:rPr>
                <w:rFonts w:ascii="Times New Roman" w:eastAsia="Times New Roman" w:hAnsi="Times New Roman" w:cs="Times New Roman"/>
                <w:color w:val="000000"/>
                <w:sz w:val="17"/>
                <w:szCs w:val="17"/>
                <w:lang w:eastAsia="fr-FR"/>
              </w:rPr>
              <w:br/>
              <w:t>« Article L. 342-21 du </w:t>
            </w:r>
            <w:hyperlink r:id="rId443" w:history="1">
              <w:r w:rsidRPr="00874A27">
                <w:rPr>
                  <w:rFonts w:ascii="Times New Roman" w:eastAsia="Times New Roman" w:hAnsi="Times New Roman" w:cs="Times New Roman"/>
                  <w:color w:val="336699"/>
                  <w:sz w:val="17"/>
                  <w:szCs w:val="17"/>
                  <w:u w:val="single"/>
                  <w:lang w:eastAsia="fr-FR"/>
                </w:rPr>
                <w:t>code de la construction et de l'habitation</w:t>
              </w:r>
            </w:hyperlink>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874A27" w:rsidRPr="00874A27" w:rsidRDefault="00874A27" w:rsidP="00874A27">
            <w:pPr>
              <w:spacing w:after="0" w:line="240" w:lineRule="auto"/>
              <w:jc w:val="center"/>
              <w:rPr>
                <w:rFonts w:ascii="Times New Roman" w:eastAsia="Times New Roman" w:hAnsi="Times New Roman" w:cs="Times New Roman"/>
                <w:color w:val="000000"/>
                <w:sz w:val="17"/>
                <w:szCs w:val="17"/>
                <w:lang w:eastAsia="fr-FR"/>
              </w:rPr>
            </w:pPr>
            <w:r w:rsidRPr="00874A27">
              <w:rPr>
                <w:rFonts w:ascii="Times New Roman" w:eastAsia="Times New Roman" w:hAnsi="Times New Roman" w:cs="Times New Roman"/>
                <w:color w:val="000000"/>
                <w:sz w:val="17"/>
                <w:szCs w:val="17"/>
                <w:lang w:eastAsia="fr-FR"/>
              </w:rPr>
              <w:br/>
              <w:t>Agence nationale de contrôle du logement social</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874A27" w:rsidRPr="00874A27" w:rsidRDefault="00874A27" w:rsidP="00874A27">
            <w:pPr>
              <w:spacing w:after="0" w:line="240" w:lineRule="auto"/>
              <w:jc w:val="center"/>
              <w:rPr>
                <w:rFonts w:ascii="Times New Roman" w:eastAsia="Times New Roman" w:hAnsi="Times New Roman" w:cs="Times New Roman"/>
                <w:color w:val="000000"/>
                <w:sz w:val="17"/>
                <w:szCs w:val="17"/>
                <w:lang w:eastAsia="fr-FR"/>
              </w:rPr>
            </w:pPr>
            <w:r w:rsidRPr="00874A27">
              <w:rPr>
                <w:rFonts w:ascii="Times New Roman" w:eastAsia="Times New Roman" w:hAnsi="Times New Roman" w:cs="Times New Roman"/>
                <w:color w:val="000000"/>
                <w:sz w:val="17"/>
                <w:szCs w:val="17"/>
                <w:lang w:eastAsia="fr-FR"/>
              </w:rPr>
              <w:br/>
              <w:t>15   000 »</w:t>
            </w:r>
          </w:p>
        </w:tc>
      </w:tr>
    </w:tbl>
    <w:p w:rsidR="00874A27" w:rsidRPr="00874A27" w:rsidRDefault="00874A27" w:rsidP="00874A27">
      <w:pPr>
        <w:shd w:val="clear" w:color="auto" w:fill="FFFFFF"/>
        <w:spacing w:beforeAutospacing="1" w:after="0" w:afterAutospacing="1"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VI. ― A. ― Les personnels exerçant leurs fonctions au sein du service interministériel chargé des contrôles et évaluations mentionnés aux articles </w:t>
      </w:r>
      <w:hyperlink r:id="rId444" w:history="1">
        <w:r w:rsidRPr="00874A27">
          <w:rPr>
            <w:rFonts w:ascii="Arial" w:eastAsia="Times New Roman" w:hAnsi="Arial" w:cs="Arial"/>
            <w:color w:val="336699"/>
            <w:sz w:val="19"/>
            <w:szCs w:val="19"/>
            <w:u w:val="single"/>
            <w:lang w:eastAsia="fr-FR"/>
          </w:rPr>
          <w:t>L. 215-9</w:t>
        </w:r>
      </w:hyperlink>
      <w:r w:rsidRPr="00874A27">
        <w:rPr>
          <w:rFonts w:ascii="Arial" w:eastAsia="Times New Roman" w:hAnsi="Arial" w:cs="Arial"/>
          <w:color w:val="000000"/>
          <w:sz w:val="19"/>
          <w:szCs w:val="19"/>
          <w:lang w:eastAsia="fr-FR"/>
        </w:rPr>
        <w:t>, </w:t>
      </w:r>
      <w:hyperlink r:id="rId445" w:history="1">
        <w:r w:rsidRPr="00874A27">
          <w:rPr>
            <w:rFonts w:ascii="Arial" w:eastAsia="Times New Roman" w:hAnsi="Arial" w:cs="Arial"/>
            <w:color w:val="336699"/>
            <w:sz w:val="19"/>
            <w:szCs w:val="19"/>
            <w:u w:val="single"/>
            <w:lang w:eastAsia="fr-FR"/>
          </w:rPr>
          <w:t>L. 451-1</w:t>
        </w:r>
      </w:hyperlink>
      <w:r w:rsidRPr="00874A27">
        <w:rPr>
          <w:rFonts w:ascii="Arial" w:eastAsia="Times New Roman" w:hAnsi="Arial" w:cs="Arial"/>
          <w:color w:val="000000"/>
          <w:sz w:val="19"/>
          <w:szCs w:val="19"/>
          <w:lang w:eastAsia="fr-FR"/>
        </w:rPr>
        <w:t>, </w:t>
      </w:r>
      <w:hyperlink r:id="rId446" w:history="1">
        <w:r w:rsidRPr="00874A27">
          <w:rPr>
            <w:rFonts w:ascii="Arial" w:eastAsia="Times New Roman" w:hAnsi="Arial" w:cs="Arial"/>
            <w:color w:val="336699"/>
            <w:sz w:val="19"/>
            <w:szCs w:val="19"/>
            <w:u w:val="single"/>
            <w:lang w:eastAsia="fr-FR"/>
          </w:rPr>
          <w:t>L. 451-2</w:t>
        </w:r>
      </w:hyperlink>
      <w:r w:rsidRPr="00874A27">
        <w:rPr>
          <w:rFonts w:ascii="Arial" w:eastAsia="Times New Roman" w:hAnsi="Arial" w:cs="Arial"/>
          <w:color w:val="000000"/>
          <w:sz w:val="19"/>
          <w:szCs w:val="19"/>
          <w:lang w:eastAsia="fr-FR"/>
        </w:rPr>
        <w:t>, </w:t>
      </w:r>
      <w:hyperlink r:id="rId447" w:history="1">
        <w:r w:rsidRPr="00874A27">
          <w:rPr>
            <w:rFonts w:ascii="Arial" w:eastAsia="Times New Roman" w:hAnsi="Arial" w:cs="Arial"/>
            <w:color w:val="336699"/>
            <w:sz w:val="19"/>
            <w:szCs w:val="19"/>
            <w:u w:val="single"/>
            <w:lang w:eastAsia="fr-FR"/>
          </w:rPr>
          <w:t>L. 472-1-2 </w:t>
        </w:r>
      </w:hyperlink>
      <w:r w:rsidRPr="00874A27">
        <w:rPr>
          <w:rFonts w:ascii="Arial" w:eastAsia="Times New Roman" w:hAnsi="Arial" w:cs="Arial"/>
          <w:color w:val="000000"/>
          <w:sz w:val="19"/>
          <w:szCs w:val="19"/>
          <w:lang w:eastAsia="fr-FR"/>
        </w:rPr>
        <w:t>et </w:t>
      </w:r>
      <w:hyperlink r:id="rId448" w:history="1">
        <w:r w:rsidRPr="00874A27">
          <w:rPr>
            <w:rFonts w:ascii="Arial" w:eastAsia="Times New Roman" w:hAnsi="Arial" w:cs="Arial"/>
            <w:color w:val="336699"/>
            <w:sz w:val="19"/>
            <w:szCs w:val="19"/>
            <w:u w:val="single"/>
            <w:lang w:eastAsia="fr-FR"/>
          </w:rPr>
          <w:t>L. 481-1 </w:t>
        </w:r>
      </w:hyperlink>
      <w:r w:rsidRPr="00874A27">
        <w:rPr>
          <w:rFonts w:ascii="Arial" w:eastAsia="Times New Roman" w:hAnsi="Arial" w:cs="Arial"/>
          <w:color w:val="000000"/>
          <w:sz w:val="19"/>
          <w:szCs w:val="19"/>
          <w:lang w:eastAsia="fr-FR"/>
        </w:rPr>
        <w:t>du code de la construction et de l'habitation, dans sa rédaction antérieure à l'entrée en vigueur de la présente loi, sont affectés à l'Agence nationale de contrôle du logement social dans les conditions suivantes.</w:t>
      </w:r>
      <w:r w:rsidRPr="00874A27">
        <w:rPr>
          <w:rFonts w:ascii="Arial" w:eastAsia="Times New Roman" w:hAnsi="Arial" w:cs="Arial"/>
          <w:color w:val="000000"/>
          <w:sz w:val="19"/>
          <w:szCs w:val="19"/>
          <w:lang w:eastAsia="fr-FR"/>
        </w:rPr>
        <w:br/>
        <w:t>1. Les fonctionnaires de l'Etat titulaires et stagiaires en activité conservent le bénéfice de leur statut et, le cas échéant, de leur statut d'emploi.</w:t>
      </w:r>
      <w:r w:rsidRPr="00874A27">
        <w:rPr>
          <w:rFonts w:ascii="Arial" w:eastAsia="Times New Roman" w:hAnsi="Arial" w:cs="Arial"/>
          <w:color w:val="000000"/>
          <w:sz w:val="19"/>
          <w:szCs w:val="19"/>
          <w:lang w:eastAsia="fr-FR"/>
        </w:rPr>
        <w:br/>
        <w:t>2. Par dérogation à l'</w:t>
      </w:r>
      <w:hyperlink r:id="rId449" w:history="1">
        <w:r w:rsidRPr="00874A27">
          <w:rPr>
            <w:rFonts w:ascii="Arial" w:eastAsia="Times New Roman" w:hAnsi="Arial" w:cs="Arial"/>
            <w:color w:val="336699"/>
            <w:sz w:val="19"/>
            <w:szCs w:val="19"/>
            <w:u w:val="single"/>
            <w:lang w:eastAsia="fr-FR"/>
          </w:rPr>
          <w:t>article 14 ter de la loi n° 83-634 du 13 juillet 1983 </w:t>
        </w:r>
      </w:hyperlink>
      <w:r w:rsidRPr="00874A27">
        <w:rPr>
          <w:rFonts w:ascii="Arial" w:eastAsia="Times New Roman" w:hAnsi="Arial" w:cs="Arial"/>
          <w:color w:val="000000"/>
          <w:sz w:val="19"/>
          <w:szCs w:val="19"/>
          <w:lang w:eastAsia="fr-FR"/>
        </w:rPr>
        <w:t>portant droits et obligations des fonctionnaires, les agents non titulaires de droit public employés à durée indéterminée demeurent agents publics de l'Etat et conservent, à titre individuel, le bénéfice de leur contrat.</w:t>
      </w:r>
      <w:r w:rsidRPr="00874A27">
        <w:rPr>
          <w:rFonts w:ascii="Arial" w:eastAsia="Times New Roman" w:hAnsi="Arial" w:cs="Arial"/>
          <w:color w:val="000000"/>
          <w:sz w:val="19"/>
          <w:szCs w:val="19"/>
          <w:lang w:eastAsia="fr-FR"/>
        </w:rPr>
        <w:br/>
        <w:t>3. Les agents non titulaires de droit public employés à durée déterminée se voient proposer par l'établissement un contrat de droit public dans les conditions prévues au même article 14 ter.</w:t>
      </w:r>
      <w:r w:rsidRPr="00874A27">
        <w:rPr>
          <w:rFonts w:ascii="Arial" w:eastAsia="Times New Roman" w:hAnsi="Arial" w:cs="Arial"/>
          <w:color w:val="000000"/>
          <w:sz w:val="19"/>
          <w:szCs w:val="19"/>
          <w:lang w:eastAsia="fr-FR"/>
        </w:rPr>
        <w:br/>
        <w:t>B. ― Par dérogation à l'</w:t>
      </w:r>
      <w:hyperlink r:id="rId450" w:history="1">
        <w:r w:rsidRPr="00874A27">
          <w:rPr>
            <w:rFonts w:ascii="Arial" w:eastAsia="Times New Roman" w:hAnsi="Arial" w:cs="Arial"/>
            <w:color w:val="336699"/>
            <w:sz w:val="19"/>
            <w:szCs w:val="19"/>
            <w:u w:val="single"/>
            <w:lang w:eastAsia="fr-FR"/>
          </w:rPr>
          <w:t>article L. 1224-3 du code du travail</w:t>
        </w:r>
      </w:hyperlink>
      <w:r w:rsidRPr="00874A27">
        <w:rPr>
          <w:rFonts w:ascii="Arial" w:eastAsia="Times New Roman" w:hAnsi="Arial" w:cs="Arial"/>
          <w:color w:val="000000"/>
          <w:sz w:val="19"/>
          <w:szCs w:val="19"/>
          <w:lang w:eastAsia="fr-FR"/>
        </w:rPr>
        <w:t>, les salariés de droit privé exerçant leurs fonctions à l'Agence nationale pour la participation des employeurs à l'effort de construction sont transférés à l'Agence nationale de contrôle du logement social. Ils conservent, à titre individuel, le bénéfice des stipulations de leur contrat ainsi que les conditions générales de travail qui leur sont applicables.</w:t>
      </w:r>
      <w:r w:rsidRPr="00874A27">
        <w:rPr>
          <w:rFonts w:ascii="Arial" w:eastAsia="Times New Roman" w:hAnsi="Arial" w:cs="Arial"/>
          <w:color w:val="000000"/>
          <w:sz w:val="19"/>
          <w:szCs w:val="19"/>
          <w:lang w:eastAsia="fr-FR"/>
        </w:rPr>
        <w:br/>
        <w:t xml:space="preserve">C. ― Le mandat des membres du comité technique du service interministériel mentionné au A du </w:t>
      </w:r>
      <w:r w:rsidRPr="00874A27">
        <w:rPr>
          <w:rFonts w:ascii="Arial" w:eastAsia="Times New Roman" w:hAnsi="Arial" w:cs="Arial"/>
          <w:color w:val="000000"/>
          <w:sz w:val="19"/>
          <w:szCs w:val="19"/>
          <w:lang w:eastAsia="fr-FR"/>
        </w:rPr>
        <w:lastRenderedPageBreak/>
        <w:t>présent VI se poursuit jusqu'à son terme. Jusqu'à cette date, ce comité technique exerce les attributions du comité technique de l'Agence nationale de contrôle du logement social.</w:t>
      </w:r>
      <w:r w:rsidRPr="00874A27">
        <w:rPr>
          <w:rFonts w:ascii="Arial" w:eastAsia="Times New Roman" w:hAnsi="Arial" w:cs="Arial"/>
          <w:color w:val="000000"/>
          <w:sz w:val="19"/>
          <w:szCs w:val="19"/>
          <w:lang w:eastAsia="fr-FR"/>
        </w:rPr>
        <w:br/>
        <w:t>D. ― Le mandat des membres du comité d'entreprise de l'Agence nationale pour la participation des employeurs à l'effort de construction se poursuit jusqu'à son terme, dans les conditions prévues par le </w:t>
      </w:r>
      <w:hyperlink r:id="rId451" w:history="1">
        <w:r w:rsidRPr="00874A27">
          <w:rPr>
            <w:rFonts w:ascii="Arial" w:eastAsia="Times New Roman" w:hAnsi="Arial" w:cs="Arial"/>
            <w:color w:val="336699"/>
            <w:sz w:val="19"/>
            <w:szCs w:val="19"/>
            <w:u w:val="single"/>
            <w:lang w:eastAsia="fr-FR"/>
          </w:rPr>
          <w:t>code du travail</w:t>
        </w:r>
      </w:hyperlink>
      <w:r w:rsidRPr="00874A27">
        <w:rPr>
          <w:rFonts w:ascii="Arial" w:eastAsia="Times New Roman" w:hAnsi="Arial" w:cs="Arial"/>
          <w:color w:val="000000"/>
          <w:sz w:val="19"/>
          <w:szCs w:val="19"/>
          <w:lang w:eastAsia="fr-FR"/>
        </w:rPr>
        <w:t>. Jusqu'à cette date, ce comité d'entreprise exerce les attributions du comité d'entreprise de l'Agence nationale de contrôle du logement social.</w:t>
      </w:r>
      <w:r w:rsidRPr="00874A27">
        <w:rPr>
          <w:rFonts w:ascii="Arial" w:eastAsia="Times New Roman" w:hAnsi="Arial" w:cs="Arial"/>
          <w:color w:val="000000"/>
          <w:sz w:val="19"/>
          <w:szCs w:val="19"/>
          <w:lang w:eastAsia="fr-FR"/>
        </w:rPr>
        <w:br/>
        <w:t>E. ― Jusqu'à la constitution du comité d'hygiène, de sécurité et des conditions de travail prévu à l'article L. 342-19 du code de la construction et de l'habitation, qui intervient au plus tard le 1er juillet 2016, les attributions de cette instance relèvent de la compétence du comité technique et du comité d'entreprise.</w:t>
      </w:r>
      <w:r w:rsidRPr="00874A27">
        <w:rPr>
          <w:rFonts w:ascii="Arial" w:eastAsia="Times New Roman" w:hAnsi="Arial" w:cs="Arial"/>
          <w:color w:val="000000"/>
          <w:sz w:val="19"/>
          <w:szCs w:val="19"/>
          <w:lang w:eastAsia="fr-FR"/>
        </w:rPr>
        <w:br/>
        <w:t>VII. ― La situation active et passive ainsi que l'ensemble des droits et obligations de l'Agence nationale pour la participation des employeurs à l'effort de construction, à l'exception des fonds mentionnés au VIII du présent article, sont repris par l'Agence nationale de contrôle du logement social.</w:t>
      </w:r>
      <w:r w:rsidRPr="00874A27">
        <w:rPr>
          <w:rFonts w:ascii="Arial" w:eastAsia="Times New Roman" w:hAnsi="Arial" w:cs="Arial"/>
          <w:color w:val="000000"/>
          <w:sz w:val="19"/>
          <w:szCs w:val="19"/>
          <w:lang w:eastAsia="fr-FR"/>
        </w:rPr>
        <w:br/>
        <w:t>Les droits et obligations du service interministériel chargé d'exercer les missions de contrôle prévues au chapitre Ier du titre V du livre IV du code de la construction et de l'habitation sont transférés à l'Agence nationale de contrôle du logement social.</w:t>
      </w:r>
      <w:r w:rsidRPr="00874A27">
        <w:rPr>
          <w:rFonts w:ascii="Arial" w:eastAsia="Times New Roman" w:hAnsi="Arial" w:cs="Arial"/>
          <w:color w:val="000000"/>
          <w:sz w:val="19"/>
          <w:szCs w:val="19"/>
          <w:lang w:eastAsia="fr-FR"/>
        </w:rPr>
        <w:br/>
        <w:t>Les transferts prévus au présent VII et au VIII sont effectués à titre gratuit et ne donnent lieu ni à indemnité, ni à perception d'impôts, droits ou taxes, ni au versement de salaires ou honoraires au profit de l'Etat, de ses agents ou de toute autre personne publique.</w:t>
      </w:r>
      <w:r w:rsidRPr="00874A27">
        <w:rPr>
          <w:rFonts w:ascii="Arial" w:eastAsia="Times New Roman" w:hAnsi="Arial" w:cs="Arial"/>
          <w:color w:val="000000"/>
          <w:sz w:val="19"/>
          <w:szCs w:val="19"/>
          <w:lang w:eastAsia="fr-FR"/>
        </w:rPr>
        <w:br/>
        <w:t>VIII. ― Les fonds gérés par l'Agence nationale pour la participation des employeurs à l'effort de construction dans le cadre de la convention d'objectifs dite « 9 % insertion sociale », en date du 26 octobre 1989, entre l'Etat et les partenaires sociaux, sont transférés à l'Union des entreprises et des salariés pour le logement et intégrés aux ressources de la participation des employeurs à l'effort de construction mentionnées à l'</w:t>
      </w:r>
      <w:hyperlink r:id="rId452" w:history="1">
        <w:r w:rsidRPr="00874A27">
          <w:rPr>
            <w:rFonts w:ascii="Arial" w:eastAsia="Times New Roman" w:hAnsi="Arial" w:cs="Arial"/>
            <w:color w:val="336699"/>
            <w:sz w:val="19"/>
            <w:szCs w:val="19"/>
            <w:u w:val="single"/>
            <w:lang w:eastAsia="fr-FR"/>
          </w:rPr>
          <w:t>article L. 313-3 du code de la construction et de l'habitation</w:t>
        </w:r>
      </w:hyperlink>
      <w:r w:rsidRPr="00874A27">
        <w:rPr>
          <w:rFonts w:ascii="Arial" w:eastAsia="Times New Roman" w:hAnsi="Arial" w:cs="Arial"/>
          <w:color w:val="000000"/>
          <w:sz w:val="19"/>
          <w:szCs w:val="19"/>
          <w:lang w:eastAsia="fr-FR"/>
        </w:rPr>
        <w:t>. L'ensemble des actifs, passifs, droits et obligations liés au fonds de garantie mentionné à l'article L. 313-10 du même code est transféré au fonds mentionné à l'article L. 452-1-1 dudit code.</w:t>
      </w:r>
      <w:r w:rsidRPr="00874A27">
        <w:rPr>
          <w:rFonts w:ascii="Arial" w:eastAsia="Times New Roman" w:hAnsi="Arial" w:cs="Arial"/>
          <w:color w:val="000000"/>
          <w:sz w:val="19"/>
          <w:szCs w:val="19"/>
          <w:lang w:eastAsia="fr-FR"/>
        </w:rPr>
        <w:br/>
        <w:t>Les fonds propres de l'Agence nationale pour la participation des employeurs à l'effort de construction sont transférés, à hauteur de huit millions d'euros, à l'Agence nationale de contrôle du logement social. Le solde est versé au fonds mentionné au même article L. 452-1-1.</w:t>
      </w:r>
      <w:r w:rsidRPr="00874A27">
        <w:rPr>
          <w:rFonts w:ascii="Arial" w:eastAsia="Times New Roman" w:hAnsi="Arial" w:cs="Arial"/>
          <w:color w:val="000000"/>
          <w:sz w:val="19"/>
          <w:szCs w:val="19"/>
          <w:lang w:eastAsia="fr-FR"/>
        </w:rPr>
        <w:br/>
        <w:t>IX. ― Le présent article entre en vigueur le 1er janvier 2015.</w:t>
      </w:r>
    </w:p>
    <w:p w:rsidR="00874A27" w:rsidRPr="00874A27" w:rsidRDefault="00874A27" w:rsidP="00874A27">
      <w:pPr>
        <w:numPr>
          <w:ilvl w:val="1"/>
          <w:numId w:val="3"/>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III : Moderniser les dispositions relatives aux organismes de logement social</w:t>
      </w:r>
    </w:p>
    <w:p w:rsidR="00874A27" w:rsidRPr="00874A27" w:rsidRDefault="00874A27" w:rsidP="00874A27">
      <w:pPr>
        <w:numPr>
          <w:ilvl w:val="2"/>
          <w:numId w:val="3"/>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1 : Moderniser les dispositifs législatifs relatifs au logement social</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02" w:name="JORFARTI000028774150"/>
      <w:bookmarkEnd w:id="102"/>
      <w:r w:rsidRPr="00874A27">
        <w:rPr>
          <w:rFonts w:ascii="Arial" w:eastAsia="Times New Roman" w:hAnsi="Arial" w:cs="Arial"/>
          <w:b/>
          <w:bCs/>
          <w:color w:val="000000"/>
          <w:sz w:val="23"/>
          <w:szCs w:val="23"/>
          <w:lang w:eastAsia="fr-FR"/>
        </w:rPr>
        <w:t>Article 103 </w:t>
      </w:r>
      <w:hyperlink r:id="rId453" w:tooltip="En savoir plus sur l'article 10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la construction et de l'habitation est ainsi modifié :</w:t>
      </w:r>
      <w:r w:rsidRPr="00874A27">
        <w:rPr>
          <w:rFonts w:ascii="Arial" w:eastAsia="Times New Roman" w:hAnsi="Arial" w:cs="Arial"/>
          <w:color w:val="000000"/>
          <w:sz w:val="19"/>
          <w:szCs w:val="19"/>
          <w:lang w:eastAsia="fr-FR"/>
        </w:rPr>
        <w:br/>
        <w:t>1° L'article L. 411-2 est ainsi modifié :</w:t>
      </w:r>
      <w:r w:rsidRPr="00874A27">
        <w:rPr>
          <w:rFonts w:ascii="Arial" w:eastAsia="Times New Roman" w:hAnsi="Arial" w:cs="Arial"/>
          <w:color w:val="000000"/>
          <w:sz w:val="19"/>
          <w:szCs w:val="19"/>
          <w:lang w:eastAsia="fr-FR"/>
        </w:rPr>
        <w:br/>
        <w:t>a) Au neuvième alinéa, après la référence : « L. 303-1 », sont insérés les mots : « ou situés dans le périmètre d'opérations de requalification de copropriétés dégradées prévues à l'article L. 741-1 » ;</w:t>
      </w:r>
      <w:r w:rsidRPr="00874A27">
        <w:rPr>
          <w:rFonts w:ascii="Arial" w:eastAsia="Times New Roman" w:hAnsi="Arial" w:cs="Arial"/>
          <w:color w:val="000000"/>
          <w:sz w:val="19"/>
          <w:szCs w:val="19"/>
          <w:lang w:eastAsia="fr-FR"/>
        </w:rPr>
        <w:br/>
        <w:t>b) Après le neuvième alinéa, il est inséré un alinéa ainsi rédigé :</w:t>
      </w:r>
      <w:r w:rsidRPr="00874A27">
        <w:rPr>
          <w:rFonts w:ascii="Arial" w:eastAsia="Times New Roman" w:hAnsi="Arial" w:cs="Arial"/>
          <w:color w:val="000000"/>
          <w:sz w:val="19"/>
          <w:szCs w:val="19"/>
          <w:lang w:eastAsia="fr-FR"/>
        </w:rPr>
        <w:br/>
        <w:t>« ― l'intervention comme opérateur, sans pouvoir être tiers-financeur, dans le cadre des procédures prévues à l'article 29-11 de la loi n° 65-557 du 10 juillet 1965 fixant le statut de la copropriété des immeubles bâtis et de l'article L. 615-10 du présent code ; » ;</w:t>
      </w:r>
      <w:r w:rsidRPr="00874A27">
        <w:rPr>
          <w:rFonts w:ascii="Arial" w:eastAsia="Times New Roman" w:hAnsi="Arial" w:cs="Arial"/>
          <w:color w:val="000000"/>
          <w:sz w:val="19"/>
          <w:szCs w:val="19"/>
          <w:lang w:eastAsia="fr-FR"/>
        </w:rPr>
        <w:br/>
        <w:t>2° L'article L. 421-1 est ainsi modifié :</w:t>
      </w:r>
      <w:r w:rsidRPr="00874A27">
        <w:rPr>
          <w:rFonts w:ascii="Arial" w:eastAsia="Times New Roman" w:hAnsi="Arial" w:cs="Arial"/>
          <w:color w:val="000000"/>
          <w:sz w:val="19"/>
          <w:szCs w:val="19"/>
          <w:lang w:eastAsia="fr-FR"/>
        </w:rPr>
        <w:br/>
        <w:t>a) La seconde phrase du 4° est complétée par les mots : « ou situés dans le périmètre d'opérations de requalification de copropriétés dégradées prévues à l'article L. 741-1 » ;</w:t>
      </w:r>
      <w:r w:rsidRPr="00874A27">
        <w:rPr>
          <w:rFonts w:ascii="Arial" w:eastAsia="Times New Roman" w:hAnsi="Arial" w:cs="Arial"/>
          <w:color w:val="000000"/>
          <w:sz w:val="19"/>
          <w:szCs w:val="19"/>
          <w:lang w:eastAsia="fr-FR"/>
        </w:rPr>
        <w:br/>
        <w:t>b) Au 5°, après le mot : « réaliser », il est inséré le mot : « , rénover » et est ajoutée une phrase ainsi rédigée :</w:t>
      </w:r>
      <w:r w:rsidRPr="00874A27">
        <w:rPr>
          <w:rFonts w:ascii="Arial" w:eastAsia="Times New Roman" w:hAnsi="Arial" w:cs="Arial"/>
          <w:color w:val="000000"/>
          <w:sz w:val="19"/>
          <w:szCs w:val="19"/>
          <w:lang w:eastAsia="fr-FR"/>
        </w:rPr>
        <w:br/>
        <w:t>« Exclusivement dans les communes appartenant à une zone d'urbanisation continue de plus de 50 000 habitants définie à l'</w:t>
      </w:r>
      <w:hyperlink r:id="rId454" w:history="1">
        <w:r w:rsidRPr="00874A27">
          <w:rPr>
            <w:rFonts w:ascii="Arial" w:eastAsia="Times New Roman" w:hAnsi="Arial" w:cs="Arial"/>
            <w:color w:val="336699"/>
            <w:sz w:val="19"/>
            <w:szCs w:val="19"/>
            <w:u w:val="single"/>
            <w:lang w:eastAsia="fr-FR"/>
          </w:rPr>
          <w:t>article 232 du code général des impôts</w:t>
        </w:r>
      </w:hyperlink>
      <w:r w:rsidRPr="00874A27">
        <w:rPr>
          <w:rFonts w:ascii="Arial" w:eastAsia="Times New Roman" w:hAnsi="Arial" w:cs="Arial"/>
          <w:color w:val="000000"/>
          <w:sz w:val="19"/>
          <w:szCs w:val="19"/>
          <w:lang w:eastAsia="fr-FR"/>
        </w:rPr>
        <w:t> ainsi que dans les communes de plus de 15 000 habitants en forte croissance démographique définies par décret pris en application du septième alinéa de l'article L. 302-5 du présent code, ils peuvent de même réaliser ou acquérir et améliorer, en complément de leur activité locative, en vue de leur vente à des personnes morales, et dans les mêmes hypothèses, des logements destinés à des personnes dont les ressources ne dépassent pas les plafonds fixés par le décret prévu au </w:t>
      </w:r>
      <w:hyperlink r:id="rId455" w:history="1">
        <w:r w:rsidRPr="00874A27">
          <w:rPr>
            <w:rFonts w:ascii="Arial" w:eastAsia="Times New Roman" w:hAnsi="Arial" w:cs="Arial"/>
            <w:color w:val="336699"/>
            <w:sz w:val="19"/>
            <w:szCs w:val="19"/>
            <w:u w:val="single"/>
            <w:lang w:eastAsia="fr-FR"/>
          </w:rPr>
          <w:t>premier alinéa du III de l'article 199 novovicies du code général des impôts</w:t>
        </w:r>
      </w:hyperlink>
      <w:r w:rsidRPr="00874A27">
        <w:rPr>
          <w:rFonts w:ascii="Arial" w:eastAsia="Times New Roman" w:hAnsi="Arial" w:cs="Arial"/>
          <w:color w:val="000000"/>
          <w:sz w:val="19"/>
          <w:szCs w:val="19"/>
          <w:lang w:eastAsia="fr-FR"/>
        </w:rPr>
        <w:t xml:space="preserve"> et respectant des prix de vente maxima fixés par l'autorité </w:t>
      </w:r>
      <w:r w:rsidRPr="00874A27">
        <w:rPr>
          <w:rFonts w:ascii="Arial" w:eastAsia="Times New Roman" w:hAnsi="Arial" w:cs="Arial"/>
          <w:color w:val="000000"/>
          <w:sz w:val="19"/>
          <w:szCs w:val="19"/>
          <w:lang w:eastAsia="fr-FR"/>
        </w:rPr>
        <w:lastRenderedPageBreak/>
        <w:t>administrative. » ;</w:t>
      </w:r>
      <w:r w:rsidRPr="00874A27">
        <w:rPr>
          <w:rFonts w:ascii="Arial" w:eastAsia="Times New Roman" w:hAnsi="Arial" w:cs="Arial"/>
          <w:color w:val="000000"/>
          <w:sz w:val="19"/>
          <w:szCs w:val="19"/>
          <w:lang w:eastAsia="fr-FR"/>
        </w:rPr>
        <w:br/>
        <w:t>c) Après le mot : « physiques », la fin du 6° est ainsi rédigée : « , des sociétés de construction constituées en application du titre Ier du livre II pour la réalisation et la gestion d'immeubles, à usage d'habitation ou à usage professionnel et d'habitation ou destinés à cet usage, en accession à la propriété, des sociétés d'habitat participatif constituées en application du titre préliminaire du livre II ; »</w:t>
      </w:r>
      <w:r w:rsidRPr="00874A27">
        <w:rPr>
          <w:rFonts w:ascii="Arial" w:eastAsia="Times New Roman" w:hAnsi="Arial" w:cs="Arial"/>
          <w:color w:val="000000"/>
          <w:sz w:val="19"/>
          <w:szCs w:val="19"/>
          <w:lang w:eastAsia="fr-FR"/>
        </w:rPr>
        <w:br/>
        <w:t>d) Le 10° est complété par une phrase ainsi rédigée :</w:t>
      </w:r>
      <w:r w:rsidRPr="00874A27">
        <w:rPr>
          <w:rFonts w:ascii="Arial" w:eastAsia="Times New Roman" w:hAnsi="Arial" w:cs="Arial"/>
          <w:color w:val="000000"/>
          <w:sz w:val="19"/>
          <w:szCs w:val="19"/>
          <w:lang w:eastAsia="fr-FR"/>
        </w:rPr>
        <w:br/>
        <w:t>« A titre subsidiaire et à titre transitoire pour une période de six ans, ils peuvent également acquérir dans le cadre de l'article L. 261-1, à due concurrence de leurs apports, des logements mentionnés à l'article L. 411-2 auprès d'une société civile immobilière dans laquelle ils détiennent des parts et dont l'unique objet est la construction d'immeubles d'habitation ou à usage professionnel et d'habitation en vue de leur vente, à la condition que cette société réalise au moins 25 % de logements mentionnés à l'article L. 411-2 et soit constituée pour une durée n'excédant pas cinq ans ; » ;</w:t>
      </w:r>
      <w:r w:rsidRPr="00874A27">
        <w:rPr>
          <w:rFonts w:ascii="Arial" w:eastAsia="Times New Roman" w:hAnsi="Arial" w:cs="Arial"/>
          <w:color w:val="000000"/>
          <w:sz w:val="19"/>
          <w:szCs w:val="19"/>
          <w:lang w:eastAsia="fr-FR"/>
        </w:rPr>
        <w:br/>
        <w:t>e) Le 11° est complété par les mots : « ou par le contrat de vente d'immeuble à rénover prévu aux articles L. 262-1 et suivants » ;</w:t>
      </w:r>
      <w:r w:rsidRPr="00874A27">
        <w:rPr>
          <w:rFonts w:ascii="Arial" w:eastAsia="Times New Roman" w:hAnsi="Arial" w:cs="Arial"/>
          <w:color w:val="000000"/>
          <w:sz w:val="19"/>
          <w:szCs w:val="19"/>
          <w:lang w:eastAsia="fr-FR"/>
        </w:rPr>
        <w:br/>
        <w:t>f) Après le 11°, sont insérés des 12° à 17° ainsi rédigés :</w:t>
      </w:r>
      <w:r w:rsidRPr="00874A27">
        <w:rPr>
          <w:rFonts w:ascii="Arial" w:eastAsia="Times New Roman" w:hAnsi="Arial" w:cs="Arial"/>
          <w:color w:val="000000"/>
          <w:sz w:val="19"/>
          <w:szCs w:val="19"/>
          <w:lang w:eastAsia="fr-FR"/>
        </w:rPr>
        <w:br/>
        <w:t>« 12° A titre subsidiaire, de donner en location des logements conventionnés en application de l'article L. 351-2 en vue de proposer des places d'hébergement destinées aux personnes ou familles mentionnées au II de l'article L. 301-1, dès lors que les besoins ont été identifiés dans le plan départemental d'action pour le logement et l'hébergement des personnes défavorisées et que l'avis de la commune ou de l'établissement public de coopération intercommunale compétent en matière d'habitat a été recueilli :</w:t>
      </w:r>
      <w:r w:rsidRPr="00874A27">
        <w:rPr>
          <w:rFonts w:ascii="Arial" w:eastAsia="Times New Roman" w:hAnsi="Arial" w:cs="Arial"/>
          <w:color w:val="000000"/>
          <w:sz w:val="19"/>
          <w:szCs w:val="19"/>
          <w:lang w:eastAsia="fr-FR"/>
        </w:rPr>
        <w:br/>
        <w:t>« a) Aux organismes bénéficiant de l'agrément relatif à l'intermédiation locative et à la gestion locative sociale prévu à l'article L. 365-4 ;</w:t>
      </w:r>
      <w:r w:rsidRPr="00874A27">
        <w:rPr>
          <w:rFonts w:ascii="Arial" w:eastAsia="Times New Roman" w:hAnsi="Arial" w:cs="Arial"/>
          <w:color w:val="000000"/>
          <w:sz w:val="19"/>
          <w:szCs w:val="19"/>
          <w:lang w:eastAsia="fr-FR"/>
        </w:rPr>
        <w:br/>
        <w:t>« b) Aux organismes mentionnés au </w:t>
      </w:r>
      <w:hyperlink r:id="rId456" w:history="1">
        <w:r w:rsidRPr="00874A27">
          <w:rPr>
            <w:rFonts w:ascii="Arial" w:eastAsia="Times New Roman" w:hAnsi="Arial" w:cs="Arial"/>
            <w:color w:val="336699"/>
            <w:sz w:val="19"/>
            <w:szCs w:val="19"/>
            <w:u w:val="single"/>
            <w:lang w:eastAsia="fr-FR"/>
          </w:rPr>
          <w:t>8° du I de l'article L. 312-1 du code de l'action sociale et des familles</w:t>
        </w:r>
      </w:hyperlink>
      <w:r w:rsidRPr="00874A27">
        <w:rPr>
          <w:rFonts w:ascii="Arial" w:eastAsia="Times New Roman" w:hAnsi="Arial" w:cs="Arial"/>
          <w:color w:val="000000"/>
          <w:sz w:val="19"/>
          <w:szCs w:val="19"/>
          <w:lang w:eastAsia="fr-FR"/>
        </w:rPr>
        <w:t> et aux personnes physiques ou morales mentionnées à l'article L. 322-1 du même code ;</w:t>
      </w:r>
      <w:r w:rsidRPr="00874A27">
        <w:rPr>
          <w:rFonts w:ascii="Arial" w:eastAsia="Times New Roman" w:hAnsi="Arial" w:cs="Arial"/>
          <w:color w:val="000000"/>
          <w:sz w:val="19"/>
          <w:szCs w:val="19"/>
          <w:lang w:eastAsia="fr-FR"/>
        </w:rPr>
        <w:br/>
        <w:t>« 13° A titre subsidiaire, de donner en location des logements conventionnés en application de l'article L. 351-2 du présent code, en vue de proposer des places d'hébergement d'urgence et d'hébergement relais, destinées aux personnes mariées, liées par un pacte civil de solidarité ou vivant maritalement qui se trouvent dans une situation d'urgence, attestée par une ordonnance de protection délivrée par le juge aux affaires familiales en application du titre XIV du livre Ier du code civil, ou sont victimes de violences au sein du couple attestées par le récépissé du dépôt d'une plainte par la victime, dès lors que les besoins ont été identifiés dans le plan départemental d'action pour le logement et l'hébergement des personnes défavorisées et que l'avis de la commune ou de l'établissement public de coopération intercommunale compétent en matière d'habitat a été recueilli ;</w:t>
      </w:r>
      <w:r w:rsidRPr="00874A27">
        <w:rPr>
          <w:rFonts w:ascii="Arial" w:eastAsia="Times New Roman" w:hAnsi="Arial" w:cs="Arial"/>
          <w:color w:val="000000"/>
          <w:sz w:val="19"/>
          <w:szCs w:val="19"/>
          <w:lang w:eastAsia="fr-FR"/>
        </w:rPr>
        <w:br/>
        <w:t>« 14° A titre subsidiaire, de construire des établissements d'hébergement dès lors que les besoins ont été identifiés dans le plan départemental d'action pour le logement et l'hébergement des personnes défavorisées et que l'avis de la commune ou de l'établissement public de coopération intercommunale compétent en matière d'habitat a été recueilli ;</w:t>
      </w:r>
      <w:r w:rsidRPr="00874A27">
        <w:rPr>
          <w:rFonts w:ascii="Arial" w:eastAsia="Times New Roman" w:hAnsi="Arial" w:cs="Arial"/>
          <w:color w:val="000000"/>
          <w:sz w:val="19"/>
          <w:szCs w:val="19"/>
          <w:lang w:eastAsia="fr-FR"/>
        </w:rPr>
        <w:br/>
        <w:t>« 15° D'intervenir comme opérateur, sans pouvoir être tiers-financeur, dans le cadre des procédures prévues à l'article 29-11 de la loi n° 65-557 du 10 juillet 1965 fixant le statut de la copropriété des immeubles bâtis et de l'article L. 615-10 du présent code ;</w:t>
      </w:r>
      <w:r w:rsidRPr="00874A27">
        <w:rPr>
          <w:rFonts w:ascii="Arial" w:eastAsia="Times New Roman" w:hAnsi="Arial" w:cs="Arial"/>
          <w:color w:val="000000"/>
          <w:sz w:val="19"/>
          <w:szCs w:val="19"/>
          <w:lang w:eastAsia="fr-FR"/>
        </w:rPr>
        <w:br/>
        <w:t>« 16° De racheter, dans le cadre de la garantie de rachat incluse dans les garanties prévues à l'article L. 411-2, des logements en vue de leur revente, à titre de résidence principale, à des personnes physiques de ressources modestes, en respectant des prix de vente maximaux fixés par l'autorité administrative ;</w:t>
      </w:r>
      <w:r w:rsidRPr="00874A27">
        <w:rPr>
          <w:rFonts w:ascii="Arial" w:eastAsia="Times New Roman" w:hAnsi="Arial" w:cs="Arial"/>
          <w:color w:val="000000"/>
          <w:sz w:val="19"/>
          <w:szCs w:val="19"/>
          <w:lang w:eastAsia="fr-FR"/>
        </w:rPr>
        <w:br/>
        <w:t>« 17° D'être syndic de copropriété et administrateur de biens d'immeubles bâtis, construits ou acquis soit par elles, soit par un autre organisme d'habitations à loyer modéré, une collectivité territoriale, une société d'économie mixte ou un organisme sans but lucratif, l'association mentionnée à l'article L. 313-34 ou une des sociétés civiles immobilières dont les parts sont détenues à au moins 99 % par cette association. Elles peuvent également, selon des modalités fixées par décret, être syndic de copropriété et administrateurs de biens d'immeubles d'habitations et réaliser des prestations de service pour le compte de syndicats de copropriétaires qui ne répondent pas à ces conditions. » ;</w:t>
      </w:r>
      <w:r w:rsidRPr="00874A27">
        <w:rPr>
          <w:rFonts w:ascii="Arial" w:eastAsia="Times New Roman" w:hAnsi="Arial" w:cs="Arial"/>
          <w:color w:val="000000"/>
          <w:sz w:val="19"/>
          <w:szCs w:val="19"/>
          <w:lang w:eastAsia="fr-FR"/>
        </w:rPr>
        <w:br/>
        <w:t>3° L'article L. 421-2 est complété par des 5° et 6° ainsi rédigés :</w:t>
      </w:r>
      <w:r w:rsidRPr="00874A27">
        <w:rPr>
          <w:rFonts w:ascii="Arial" w:eastAsia="Times New Roman" w:hAnsi="Arial" w:cs="Arial"/>
          <w:color w:val="000000"/>
          <w:sz w:val="19"/>
          <w:szCs w:val="19"/>
          <w:lang w:eastAsia="fr-FR"/>
        </w:rPr>
        <w:br/>
        <w:t>« 5° Des parts dans des sociétés d'habitat participatif constituées en application du titre préliminaire du livre II ;</w:t>
      </w:r>
      <w:r w:rsidRPr="00874A27">
        <w:rPr>
          <w:rFonts w:ascii="Arial" w:eastAsia="Times New Roman" w:hAnsi="Arial" w:cs="Arial"/>
          <w:color w:val="000000"/>
          <w:sz w:val="19"/>
          <w:szCs w:val="19"/>
          <w:lang w:eastAsia="fr-FR"/>
        </w:rPr>
        <w:br/>
        <w:t>« 6° Des actions ou parts de sociétés ou d'organismes à caractère mutualiste ou coopératif susceptibles de faciliter leur action dans le cadre de la réglementation des habitations à loyer modéré. » ;</w:t>
      </w:r>
      <w:r w:rsidRPr="00874A27">
        <w:rPr>
          <w:rFonts w:ascii="Arial" w:eastAsia="Times New Roman" w:hAnsi="Arial" w:cs="Arial"/>
          <w:color w:val="000000"/>
          <w:sz w:val="19"/>
          <w:szCs w:val="19"/>
          <w:lang w:eastAsia="fr-FR"/>
        </w:rPr>
        <w:br/>
        <w:t>4° A la seconde phrase du 5° de l'article L. 421-3, après le mot : « dégradées », sont insérés les mots : « ou lorsqu'elles sont situées dans le périmètre d'opérations de requalification de copropriétés dégradées prévues à l'article L. 741-1 » ;</w:t>
      </w:r>
      <w:r w:rsidRPr="00874A27">
        <w:rPr>
          <w:rFonts w:ascii="Arial" w:eastAsia="Times New Roman" w:hAnsi="Arial" w:cs="Arial"/>
          <w:color w:val="000000"/>
          <w:sz w:val="19"/>
          <w:szCs w:val="19"/>
          <w:lang w:eastAsia="fr-FR"/>
        </w:rPr>
        <w:br/>
        <w:t>5° Le 3° de l'article L. 421-4 est ainsi rédigé :</w:t>
      </w:r>
      <w:r w:rsidRPr="00874A27">
        <w:rPr>
          <w:rFonts w:ascii="Arial" w:eastAsia="Times New Roman" w:hAnsi="Arial" w:cs="Arial"/>
          <w:color w:val="000000"/>
          <w:sz w:val="19"/>
          <w:szCs w:val="19"/>
          <w:lang w:eastAsia="fr-FR"/>
        </w:rPr>
        <w:br/>
        <w:t xml:space="preserve">« 3° Acquérir la nue-propriété ou l'usufruit temporaire des logements visés à l'article L. 253-1, ou </w:t>
      </w:r>
      <w:r w:rsidRPr="00874A27">
        <w:rPr>
          <w:rFonts w:ascii="Arial" w:eastAsia="Times New Roman" w:hAnsi="Arial" w:cs="Arial"/>
          <w:color w:val="000000"/>
          <w:sz w:val="19"/>
          <w:szCs w:val="19"/>
          <w:lang w:eastAsia="fr-FR"/>
        </w:rPr>
        <w:lastRenderedPageBreak/>
        <w:t>réserver ce dernier à leur profit, à la condition que ces logements soient destinés à des personnes qui remplissent les conditions de ressources définies par décret :</w:t>
      </w:r>
      <w:r w:rsidRPr="00874A27">
        <w:rPr>
          <w:rFonts w:ascii="Arial" w:eastAsia="Times New Roman" w:hAnsi="Arial" w:cs="Arial"/>
          <w:color w:val="000000"/>
          <w:sz w:val="19"/>
          <w:szCs w:val="19"/>
          <w:lang w:eastAsia="fr-FR"/>
        </w:rPr>
        <w:br/>
        <w:t>« a) Au sein d'immeubles à usage principal d'habitation qu'ils réalisent en vue de leur vente à des personnes physiques ou morales dans les conditions prévues à l'article L. 261-3 ;</w:t>
      </w:r>
      <w:r w:rsidRPr="00874A27">
        <w:rPr>
          <w:rFonts w:ascii="Arial" w:eastAsia="Times New Roman" w:hAnsi="Arial" w:cs="Arial"/>
          <w:color w:val="000000"/>
          <w:sz w:val="19"/>
          <w:szCs w:val="19"/>
          <w:lang w:eastAsia="fr-FR"/>
        </w:rPr>
        <w:br/>
        <w:t>« b) A titre expérimental pendant une durée de cinq ans à compter de la promulgation de la </w:t>
      </w:r>
      <w:hyperlink r:id="rId457" w:history="1">
        <w:r w:rsidRPr="00874A27">
          <w:rPr>
            <w:rFonts w:ascii="Arial" w:eastAsia="Times New Roman" w:hAnsi="Arial" w:cs="Arial"/>
            <w:color w:val="336699"/>
            <w:sz w:val="19"/>
            <w:szCs w:val="19"/>
            <w:u w:val="single"/>
            <w:lang w:eastAsia="fr-FR"/>
          </w:rPr>
          <w:t>loi n° 2014-366 du 24 mars 2014</w:t>
        </w:r>
      </w:hyperlink>
      <w:r w:rsidRPr="00874A27">
        <w:rPr>
          <w:rFonts w:ascii="Arial" w:eastAsia="Times New Roman" w:hAnsi="Arial" w:cs="Arial"/>
          <w:color w:val="000000"/>
          <w:sz w:val="19"/>
          <w:szCs w:val="19"/>
          <w:lang w:eastAsia="fr-FR"/>
        </w:rPr>
        <w:t> pour l'accès au logement et un urbanisme rénové, au sein d'immeubles bâtis occupés ou non, dans les communes appartenant à une zone d'urbanisation continue de plus de 50 000 habitants telle que définie à l'</w:t>
      </w:r>
      <w:hyperlink r:id="rId458" w:history="1">
        <w:r w:rsidRPr="00874A27">
          <w:rPr>
            <w:rFonts w:ascii="Arial" w:eastAsia="Times New Roman" w:hAnsi="Arial" w:cs="Arial"/>
            <w:color w:val="336699"/>
            <w:sz w:val="19"/>
            <w:szCs w:val="19"/>
            <w:u w:val="single"/>
            <w:lang w:eastAsia="fr-FR"/>
          </w:rPr>
          <w:t>article 232 du code général des impôts</w:t>
        </w:r>
      </w:hyperlink>
      <w:r w:rsidRPr="00874A27">
        <w:rPr>
          <w:rFonts w:ascii="Arial" w:eastAsia="Times New Roman" w:hAnsi="Arial" w:cs="Arial"/>
          <w:color w:val="000000"/>
          <w:sz w:val="19"/>
          <w:szCs w:val="19"/>
          <w:lang w:eastAsia="fr-FR"/>
        </w:rPr>
        <w:t> ainsi que dans les communes de plus de 15 000 habitants en forte croissance démographique définies par décret pris en application du septième alinéa de l'article L. 302-5 du présent code ;</w:t>
      </w:r>
      <w:r w:rsidRPr="00874A27">
        <w:rPr>
          <w:rFonts w:ascii="Arial" w:eastAsia="Times New Roman" w:hAnsi="Arial" w:cs="Arial"/>
          <w:color w:val="000000"/>
          <w:sz w:val="19"/>
          <w:szCs w:val="19"/>
          <w:lang w:eastAsia="fr-FR"/>
        </w:rPr>
        <w:br/>
        <w:t>« La sous-section 1 de la section 2 du chapitre III du titre IV du présent livre n'est pas applicable aux opérations relevant du présent 3° ; » ;</w:t>
      </w:r>
      <w:r w:rsidRPr="00874A27">
        <w:rPr>
          <w:rFonts w:ascii="Arial" w:eastAsia="Times New Roman" w:hAnsi="Arial" w:cs="Arial"/>
          <w:color w:val="000000"/>
          <w:sz w:val="19"/>
          <w:szCs w:val="19"/>
          <w:lang w:eastAsia="fr-FR"/>
        </w:rPr>
        <w:br/>
        <w:t>6° L'article L. 422-2 est ainsi modifié :</w:t>
      </w:r>
      <w:r w:rsidRPr="00874A27">
        <w:rPr>
          <w:rFonts w:ascii="Arial" w:eastAsia="Times New Roman" w:hAnsi="Arial" w:cs="Arial"/>
          <w:color w:val="000000"/>
          <w:sz w:val="19"/>
          <w:szCs w:val="19"/>
          <w:lang w:eastAsia="fr-FR"/>
        </w:rPr>
        <w:br/>
        <w:t>a) A la dernière phrase du premier alinéa, après la référence : « L. 303-1 », sont insérés les mots : « ou dans le périmètre d'opérations de requalification de copropriétés dégradées prévues à l'article L. 741-1 » ;</w:t>
      </w:r>
      <w:r w:rsidRPr="00874A27">
        <w:rPr>
          <w:rFonts w:ascii="Arial" w:eastAsia="Times New Roman" w:hAnsi="Arial" w:cs="Arial"/>
          <w:color w:val="000000"/>
          <w:sz w:val="19"/>
          <w:szCs w:val="19"/>
          <w:lang w:eastAsia="fr-FR"/>
        </w:rPr>
        <w:br/>
        <w:t>b) Le deuxième alinéa est complété par les mots et une phrase ainsi rédigée : « ou dans le périmètre d'opérations de requalification de copropriétés dégradées prévues à l'article L. 741-1. Elles peuvent intervenir comme opérateur, sans pouvoir être tiers-financeur, dans le cadre des procédures prévues à l'article 29-11 de la loi n° 65-557 du 10 juillet 1965 fixant le statut de la copropriété des immeubles bâtis et de l'article L. 615-10 du présent code. » ;</w:t>
      </w:r>
      <w:r w:rsidRPr="00874A27">
        <w:rPr>
          <w:rFonts w:ascii="Arial" w:eastAsia="Times New Roman" w:hAnsi="Arial" w:cs="Arial"/>
          <w:color w:val="000000"/>
          <w:sz w:val="19"/>
          <w:szCs w:val="19"/>
          <w:lang w:eastAsia="fr-FR"/>
        </w:rPr>
        <w:br/>
        <w:t>c) Au cinquième alinéa, après le mot : « réaliser », il est inséré le mot : « , rénover » et est ajoutée une phrase ainsi rédigée :</w:t>
      </w:r>
      <w:r w:rsidRPr="00874A27">
        <w:rPr>
          <w:rFonts w:ascii="Arial" w:eastAsia="Times New Roman" w:hAnsi="Arial" w:cs="Arial"/>
          <w:color w:val="000000"/>
          <w:sz w:val="19"/>
          <w:szCs w:val="19"/>
          <w:lang w:eastAsia="fr-FR"/>
        </w:rPr>
        <w:br/>
        <w:t>« Exclusivement dans les communes appartenant à une zone d'urbanisation continue de plus de 50 000 habitants définie à l'</w:t>
      </w:r>
      <w:hyperlink r:id="rId459" w:history="1">
        <w:r w:rsidRPr="00874A27">
          <w:rPr>
            <w:rFonts w:ascii="Arial" w:eastAsia="Times New Roman" w:hAnsi="Arial" w:cs="Arial"/>
            <w:color w:val="336699"/>
            <w:sz w:val="19"/>
            <w:szCs w:val="19"/>
            <w:u w:val="single"/>
            <w:lang w:eastAsia="fr-FR"/>
          </w:rPr>
          <w:t>article 232 du code général des impôts</w:t>
        </w:r>
      </w:hyperlink>
      <w:r w:rsidRPr="00874A27">
        <w:rPr>
          <w:rFonts w:ascii="Arial" w:eastAsia="Times New Roman" w:hAnsi="Arial" w:cs="Arial"/>
          <w:color w:val="000000"/>
          <w:sz w:val="19"/>
          <w:szCs w:val="19"/>
          <w:lang w:eastAsia="fr-FR"/>
        </w:rPr>
        <w:t> ainsi que dans les communes de plus de 15 000 habitants en forte croissance démographique définies par décret pris en application du septième alinéa de l'article L. 302-5 du présent code, elles peuvent de même réaliser ou acquérir et améliorer, en complément de leur activité locative, en vue de leur vente à des personnes morales, et dans les mêmes hypothèses, des logements destinés à des personnes dont les ressources ne dépassent pas les plafonds fixés par le décret prévu au </w:t>
      </w:r>
      <w:hyperlink r:id="rId460" w:history="1">
        <w:r w:rsidRPr="00874A27">
          <w:rPr>
            <w:rFonts w:ascii="Arial" w:eastAsia="Times New Roman" w:hAnsi="Arial" w:cs="Arial"/>
            <w:color w:val="336699"/>
            <w:sz w:val="19"/>
            <w:szCs w:val="19"/>
            <w:u w:val="single"/>
            <w:lang w:eastAsia="fr-FR"/>
          </w:rPr>
          <w:t>premier alinéa du III de l'article 199 novovicies du code général des impôts</w:t>
        </w:r>
      </w:hyperlink>
      <w:r w:rsidRPr="00874A27">
        <w:rPr>
          <w:rFonts w:ascii="Arial" w:eastAsia="Times New Roman" w:hAnsi="Arial" w:cs="Arial"/>
          <w:color w:val="000000"/>
          <w:sz w:val="19"/>
          <w:szCs w:val="19"/>
          <w:lang w:eastAsia="fr-FR"/>
        </w:rPr>
        <w:t> et respectant des prix de vente maxima fixés par l'autorité administrative. » ;</w:t>
      </w:r>
      <w:r w:rsidRPr="00874A27">
        <w:rPr>
          <w:rFonts w:ascii="Arial" w:eastAsia="Times New Roman" w:hAnsi="Arial" w:cs="Arial"/>
          <w:color w:val="000000"/>
          <w:sz w:val="19"/>
          <w:szCs w:val="19"/>
          <w:lang w:eastAsia="fr-FR"/>
        </w:rPr>
        <w:br/>
        <w:t>d) Après le même cinquième alinéa, il est inséré un alinéa ainsi rédigé :</w:t>
      </w:r>
      <w:r w:rsidRPr="00874A27">
        <w:rPr>
          <w:rFonts w:ascii="Arial" w:eastAsia="Times New Roman" w:hAnsi="Arial" w:cs="Arial"/>
          <w:color w:val="000000"/>
          <w:sz w:val="19"/>
          <w:szCs w:val="19"/>
          <w:lang w:eastAsia="fr-FR"/>
        </w:rPr>
        <w:br/>
        <w:t>« ― de racheter, dans le cadre de la garantie de rachat incluse dans les garanties prévues à l'article L. 411-2 du présent code, des logements en vue de leur revente, à titre de résidence principale, à des personnes physiques de ressources modestes, en respectant des prix de vente maxima fixés par l'autorité administrative ; » ;</w:t>
      </w:r>
      <w:r w:rsidRPr="00874A27">
        <w:rPr>
          <w:rFonts w:ascii="Arial" w:eastAsia="Times New Roman" w:hAnsi="Arial" w:cs="Arial"/>
          <w:color w:val="000000"/>
          <w:sz w:val="19"/>
          <w:szCs w:val="19"/>
          <w:lang w:eastAsia="fr-FR"/>
        </w:rPr>
        <w:br/>
        <w:t>e) Après le mot : « physiques », la fin du sixième alinéa est ainsi rédigée : « , des sociétés de construction constituées en application du titre Ier du livre II pour la réalisation et la gestion d'immeubles, à usage d'habitation ou à usage professionnel et d'habitation ou destinés à cet usage, en accession à la propriété, des sociétés d'habitat participatif constituées en application du titre préliminaire du livre II ; » ;</w:t>
      </w:r>
      <w:r w:rsidRPr="00874A27">
        <w:rPr>
          <w:rFonts w:ascii="Arial" w:eastAsia="Times New Roman" w:hAnsi="Arial" w:cs="Arial"/>
          <w:color w:val="000000"/>
          <w:sz w:val="19"/>
          <w:szCs w:val="19"/>
          <w:lang w:eastAsia="fr-FR"/>
        </w:rPr>
        <w:br/>
        <w:t>f) Après le dixième alinéa, sont insérés trois alinéas ainsi rédigés :</w:t>
      </w:r>
      <w:r w:rsidRPr="00874A27">
        <w:rPr>
          <w:rFonts w:ascii="Arial" w:eastAsia="Times New Roman" w:hAnsi="Arial" w:cs="Arial"/>
          <w:color w:val="000000"/>
          <w:sz w:val="19"/>
          <w:szCs w:val="19"/>
          <w:lang w:eastAsia="fr-FR"/>
        </w:rPr>
        <w:br/>
        <w:t>« ― à titre subsidiaire, de donner en location aux organismes bénéficiant de l'agrément relatif à l'intermédiation locative et à la gestion locative sociale prévu à l'article L. 365-4 du présent code ou aux organismes mentionnés au </w:t>
      </w:r>
      <w:hyperlink r:id="rId461" w:history="1">
        <w:r w:rsidRPr="00874A27">
          <w:rPr>
            <w:rFonts w:ascii="Arial" w:eastAsia="Times New Roman" w:hAnsi="Arial" w:cs="Arial"/>
            <w:color w:val="336699"/>
            <w:sz w:val="19"/>
            <w:szCs w:val="19"/>
            <w:u w:val="single"/>
            <w:lang w:eastAsia="fr-FR"/>
          </w:rPr>
          <w:t>8° du I de l'article L. 312-1 du code de l'action sociale et des familles</w:t>
        </w:r>
      </w:hyperlink>
      <w:r w:rsidRPr="00874A27">
        <w:rPr>
          <w:rFonts w:ascii="Arial" w:eastAsia="Times New Roman" w:hAnsi="Arial" w:cs="Arial"/>
          <w:color w:val="000000"/>
          <w:sz w:val="19"/>
          <w:szCs w:val="19"/>
          <w:lang w:eastAsia="fr-FR"/>
        </w:rPr>
        <w:t> et à l'article L. 322-1 du même code des logements conventionnés en application de l'article L. 351-2 du présent code, en vue de proposer des places d'hébergement destinées aux personnes ou familles mentionnées au II de l'article L. 301-1, dès lors que les besoins ont été identifiés dans le plan départemental d'action pour le logement et l'hébergement des personnes défavorisées et que l'avis de la commune ou de l'établissement public de coopération intercommunale compétent en matière d'habitat a été recueilli ;</w:t>
      </w:r>
      <w:r w:rsidRPr="00874A27">
        <w:rPr>
          <w:rFonts w:ascii="Arial" w:eastAsia="Times New Roman" w:hAnsi="Arial" w:cs="Arial"/>
          <w:color w:val="000000"/>
          <w:sz w:val="19"/>
          <w:szCs w:val="19"/>
          <w:lang w:eastAsia="fr-FR"/>
        </w:rPr>
        <w:br/>
        <w:t>« ― à titre subsidiaire, de donner en location des logements conventionnés en application de l'article L. 351-2 du présent code, en vue de proposer des places d'hébergement d'urgence et d'hébergement relais ou d'insertion, centres d'hébergement et de réinsertion sociale, au sein de structures spécifiques et sécurisées, destinées aux personnes mariées, liées par un pacte civil de solidarité ou vivant maritalement qui se trouvent dans une situation d'urgence, attestée par une ordonnance de protection délivrée par le juge aux affaires familiales en application du titre XIV du livre Ier du code civil, ou sont victimes de violences au sein du couple attestées par le récépissé du dépôt d'une plainte par la victime, dès lors que les besoins ont été identifiés dans le plan départemental d'action pour le logement et l'hébergement des personnes défavorisées et que l'avis de la commune ou de l'établissement public de coopération intercommunale compétent en matière d'habitat a été recueilli ;</w:t>
      </w:r>
      <w:r w:rsidRPr="00874A27">
        <w:rPr>
          <w:rFonts w:ascii="Arial" w:eastAsia="Times New Roman" w:hAnsi="Arial" w:cs="Arial"/>
          <w:color w:val="000000"/>
          <w:sz w:val="19"/>
          <w:szCs w:val="19"/>
          <w:lang w:eastAsia="fr-FR"/>
        </w:rPr>
        <w:br/>
        <w:t xml:space="preserve">« ― à titre subsidiaire, de construire des établissements d'hébergement dès lors que les besoins ont </w:t>
      </w:r>
      <w:r w:rsidRPr="00874A27">
        <w:rPr>
          <w:rFonts w:ascii="Arial" w:eastAsia="Times New Roman" w:hAnsi="Arial" w:cs="Arial"/>
          <w:color w:val="000000"/>
          <w:sz w:val="19"/>
          <w:szCs w:val="19"/>
          <w:lang w:eastAsia="fr-FR"/>
        </w:rPr>
        <w:lastRenderedPageBreak/>
        <w:t>été identifiés dans le plan départemental d'action pour le logement et l'hébergement des personnes défavorisées et que l'avis de la commune ou de l'établissement public de coopération intercommunale compétent en matière d'habitat a été recueilli ; » ;</w:t>
      </w:r>
      <w:r w:rsidRPr="00874A27">
        <w:rPr>
          <w:rFonts w:ascii="Arial" w:eastAsia="Times New Roman" w:hAnsi="Arial" w:cs="Arial"/>
          <w:color w:val="000000"/>
          <w:sz w:val="19"/>
          <w:szCs w:val="19"/>
          <w:lang w:eastAsia="fr-FR"/>
        </w:rPr>
        <w:br/>
        <w:t>g) Le treizième alinéa est complété par les mots : « ou par le contrat de vente d'immeuble à rénover prévu aux articles L. 262-1 et suivants » ;</w:t>
      </w:r>
      <w:r w:rsidRPr="00874A27">
        <w:rPr>
          <w:rFonts w:ascii="Arial" w:eastAsia="Times New Roman" w:hAnsi="Arial" w:cs="Arial"/>
          <w:color w:val="000000"/>
          <w:sz w:val="19"/>
          <w:szCs w:val="19"/>
          <w:lang w:eastAsia="fr-FR"/>
        </w:rPr>
        <w:br/>
        <w:t>h) Après le quatorzième alinéa, il est inséré un alinéa ainsi rédigé :</w:t>
      </w:r>
      <w:r w:rsidRPr="00874A27">
        <w:rPr>
          <w:rFonts w:ascii="Arial" w:eastAsia="Times New Roman" w:hAnsi="Arial" w:cs="Arial"/>
          <w:color w:val="000000"/>
          <w:sz w:val="19"/>
          <w:szCs w:val="19"/>
          <w:lang w:eastAsia="fr-FR"/>
        </w:rPr>
        <w:br/>
        <w:t>« ― de souscrire ou d'acquérir des parts dans des sociétés d'habitat participatif constituées en application du titre préliminaire du livre II ; » ;</w:t>
      </w:r>
      <w:r w:rsidRPr="00874A27">
        <w:rPr>
          <w:rFonts w:ascii="Arial" w:eastAsia="Times New Roman" w:hAnsi="Arial" w:cs="Arial"/>
          <w:color w:val="000000"/>
          <w:sz w:val="19"/>
          <w:szCs w:val="19"/>
          <w:lang w:eastAsia="fr-FR"/>
        </w:rPr>
        <w:br/>
        <w:t>i) Le douzième alinéa est complété par une phrase ainsi rédigée :</w:t>
      </w:r>
      <w:r w:rsidRPr="00874A27">
        <w:rPr>
          <w:rFonts w:ascii="Arial" w:eastAsia="Times New Roman" w:hAnsi="Arial" w:cs="Arial"/>
          <w:color w:val="000000"/>
          <w:sz w:val="19"/>
          <w:szCs w:val="19"/>
          <w:lang w:eastAsia="fr-FR"/>
        </w:rPr>
        <w:br/>
        <w:t>« Elles peuvent également, selon des modalités fixées par leurs statuts, être syndic de copropriété et administrateurs de biens d'immeubles d'habitations et réaliser des prestations de service pour le compte de syndicats de copropriétaires qui ne répondent pas à ces conditions. » ;</w:t>
      </w:r>
      <w:r w:rsidRPr="00874A27">
        <w:rPr>
          <w:rFonts w:ascii="Arial" w:eastAsia="Times New Roman" w:hAnsi="Arial" w:cs="Arial"/>
          <w:color w:val="000000"/>
          <w:sz w:val="19"/>
          <w:szCs w:val="19"/>
          <w:lang w:eastAsia="fr-FR"/>
        </w:rPr>
        <w:br/>
        <w:t>j) A la seconde phrase du dix-huitième alinéa, après le mot : « dégradées », sont insérés les mots : « ou lorsqu'elles sont situées dans le périmètre d'opérations de requalification de copropriétés dégradées prévues à l'article L. 741-1 » ;</w:t>
      </w:r>
      <w:r w:rsidRPr="00874A27">
        <w:rPr>
          <w:rFonts w:ascii="Arial" w:eastAsia="Times New Roman" w:hAnsi="Arial" w:cs="Arial"/>
          <w:color w:val="000000"/>
          <w:sz w:val="19"/>
          <w:szCs w:val="19"/>
          <w:lang w:eastAsia="fr-FR"/>
        </w:rPr>
        <w:br/>
        <w:t>k) Le vingt-quatrième alinéa est remplacé par quatre alinéas ainsi rédigés :</w:t>
      </w:r>
      <w:r w:rsidRPr="00874A27">
        <w:rPr>
          <w:rFonts w:ascii="Arial" w:eastAsia="Times New Roman" w:hAnsi="Arial" w:cs="Arial"/>
          <w:color w:val="000000"/>
          <w:sz w:val="19"/>
          <w:szCs w:val="19"/>
          <w:lang w:eastAsia="fr-FR"/>
        </w:rPr>
        <w:br/>
        <w:t>« Elles peuvent aussi acquérir la nue-propriété ou l'usufruit temporaire des logements visés à l'article L. 253-1, ou réserver ce dernier à leur profit :</w:t>
      </w:r>
      <w:r w:rsidRPr="00874A27">
        <w:rPr>
          <w:rFonts w:ascii="Arial" w:eastAsia="Times New Roman" w:hAnsi="Arial" w:cs="Arial"/>
          <w:color w:val="000000"/>
          <w:sz w:val="19"/>
          <w:szCs w:val="19"/>
          <w:lang w:eastAsia="fr-FR"/>
        </w:rPr>
        <w:br/>
        <w:t>« a) Au sein d'immeubles à usage principal d'habitation qu'elles réalisent en vue de leur vente à des personnes physiques ou morales dans les conditions prévues à l'article L. 261-3 ;</w:t>
      </w:r>
      <w:r w:rsidRPr="00874A27">
        <w:rPr>
          <w:rFonts w:ascii="Arial" w:eastAsia="Times New Roman" w:hAnsi="Arial" w:cs="Arial"/>
          <w:color w:val="000000"/>
          <w:sz w:val="19"/>
          <w:szCs w:val="19"/>
          <w:lang w:eastAsia="fr-FR"/>
        </w:rPr>
        <w:br/>
        <w:t>« b) A titre expérimental pendant une durée de cinq ans à compter de la promulgation de la </w:t>
      </w:r>
      <w:hyperlink r:id="rId462" w:history="1">
        <w:r w:rsidRPr="00874A27">
          <w:rPr>
            <w:rFonts w:ascii="Arial" w:eastAsia="Times New Roman" w:hAnsi="Arial" w:cs="Arial"/>
            <w:color w:val="336699"/>
            <w:sz w:val="19"/>
            <w:szCs w:val="19"/>
            <w:u w:val="single"/>
            <w:lang w:eastAsia="fr-FR"/>
          </w:rPr>
          <w:t>loi n° 2014-366 du 24 mars 2014</w:t>
        </w:r>
      </w:hyperlink>
      <w:r w:rsidRPr="00874A27">
        <w:rPr>
          <w:rFonts w:ascii="Arial" w:eastAsia="Times New Roman" w:hAnsi="Arial" w:cs="Arial"/>
          <w:color w:val="000000"/>
          <w:sz w:val="19"/>
          <w:szCs w:val="19"/>
          <w:lang w:eastAsia="fr-FR"/>
        </w:rPr>
        <w:t> pour l'accès au logement et un urbanisme rénové, au sein d'immeubles bâtis occupés ou non, dans les communes appartenant à une zone d'urbanisation continue de plus de 50 000 habitants telle que définie à l'</w:t>
      </w:r>
      <w:hyperlink r:id="rId463" w:history="1">
        <w:r w:rsidRPr="00874A27">
          <w:rPr>
            <w:rFonts w:ascii="Arial" w:eastAsia="Times New Roman" w:hAnsi="Arial" w:cs="Arial"/>
            <w:color w:val="336699"/>
            <w:sz w:val="19"/>
            <w:szCs w:val="19"/>
            <w:u w:val="single"/>
            <w:lang w:eastAsia="fr-FR"/>
          </w:rPr>
          <w:t>article 232 du code général des impôts</w:t>
        </w:r>
      </w:hyperlink>
      <w:r w:rsidRPr="00874A27">
        <w:rPr>
          <w:rFonts w:ascii="Arial" w:eastAsia="Times New Roman" w:hAnsi="Arial" w:cs="Arial"/>
          <w:color w:val="000000"/>
          <w:sz w:val="19"/>
          <w:szCs w:val="19"/>
          <w:lang w:eastAsia="fr-FR"/>
        </w:rPr>
        <w:t> ainsi que dans les communes de plus de 15 000 habitants en forte croissance démographique définies par décret pris en application du septième alinéa de l'article L. 302-5 du présent code ;</w:t>
      </w:r>
      <w:r w:rsidRPr="00874A27">
        <w:rPr>
          <w:rFonts w:ascii="Arial" w:eastAsia="Times New Roman" w:hAnsi="Arial" w:cs="Arial"/>
          <w:color w:val="000000"/>
          <w:sz w:val="19"/>
          <w:szCs w:val="19"/>
          <w:lang w:eastAsia="fr-FR"/>
        </w:rPr>
        <w:br/>
        <w:t>« La sous-section 1 de la section 2 du chapitre III du titre IV du présent livre n'est pas applicable aux opérations relevant des trois alinéas précédents. » ;</w:t>
      </w:r>
      <w:r w:rsidRPr="00874A27">
        <w:rPr>
          <w:rFonts w:ascii="Arial" w:eastAsia="Times New Roman" w:hAnsi="Arial" w:cs="Arial"/>
          <w:color w:val="000000"/>
          <w:sz w:val="19"/>
          <w:szCs w:val="19"/>
          <w:lang w:eastAsia="fr-FR"/>
        </w:rPr>
        <w:br/>
        <w:t>l) Il est ajouté un alinéa ainsi rédigé :</w:t>
      </w:r>
      <w:r w:rsidRPr="00874A27">
        <w:rPr>
          <w:rFonts w:ascii="Arial" w:eastAsia="Times New Roman" w:hAnsi="Arial" w:cs="Arial"/>
          <w:color w:val="000000"/>
          <w:sz w:val="19"/>
          <w:szCs w:val="19"/>
          <w:lang w:eastAsia="fr-FR"/>
        </w:rPr>
        <w:br/>
        <w:t>« A titre subsidiaire et à titre transitoire pour une période de six ans, elles peuvent également acquérir dans le cadre de l'article L. 261-1, à due concurrence de leurs apports, des logements mentionnés à l'article L. 411-2 auprès d'une société civile immobilière dans laquelle elles détiennent des parts et dont l'unique objet est la construction d'immeubles d'habitation ou à usage professionnel et d'habitation en vue de leur vente, à la condition que cette société réalise au moins 25 % des logements mentionnés à l'article L. 411-2 et soit constituée pour une durée n'excédant pas cinq ans. » ;</w:t>
      </w:r>
      <w:r w:rsidRPr="00874A27">
        <w:rPr>
          <w:rFonts w:ascii="Arial" w:eastAsia="Times New Roman" w:hAnsi="Arial" w:cs="Arial"/>
          <w:color w:val="000000"/>
          <w:sz w:val="19"/>
          <w:szCs w:val="19"/>
          <w:lang w:eastAsia="fr-FR"/>
        </w:rPr>
        <w:br/>
        <w:t>7° L'article L. 422-3 est ainsi modifié :</w:t>
      </w:r>
      <w:r w:rsidRPr="00874A27">
        <w:rPr>
          <w:rFonts w:ascii="Arial" w:eastAsia="Times New Roman" w:hAnsi="Arial" w:cs="Arial"/>
          <w:color w:val="000000"/>
          <w:sz w:val="19"/>
          <w:szCs w:val="19"/>
          <w:lang w:eastAsia="fr-FR"/>
        </w:rPr>
        <w:br/>
        <w:t>a) Après le mot : « physiques », la fin du 1° est ainsi rédigée : « , des sociétés de construction constituées en application du titre Ier du livre II pour la réalisation et la gestion d'immeubles, à usage d'habitation ou à usage professionnel et d'habitation ou destinés à cet usage, en accession à la propriété, des sociétés d'habitat participatif constituées en application du titre préliminaire du livre II ; » ;</w:t>
      </w:r>
      <w:r w:rsidRPr="00874A27">
        <w:rPr>
          <w:rFonts w:ascii="Arial" w:eastAsia="Times New Roman" w:hAnsi="Arial" w:cs="Arial"/>
          <w:color w:val="000000"/>
          <w:sz w:val="19"/>
          <w:szCs w:val="19"/>
          <w:lang w:eastAsia="fr-FR"/>
        </w:rPr>
        <w:br/>
        <w:t>b) Au 2°, après le mot : « acquérir, », il est inséré le mot : « rénover, » ;</w:t>
      </w:r>
      <w:r w:rsidRPr="00874A27">
        <w:rPr>
          <w:rFonts w:ascii="Arial" w:eastAsia="Times New Roman" w:hAnsi="Arial" w:cs="Arial"/>
          <w:color w:val="000000"/>
          <w:sz w:val="19"/>
          <w:szCs w:val="19"/>
          <w:lang w:eastAsia="fr-FR"/>
        </w:rPr>
        <w:br/>
        <w:t>c) Après le 6° bis, sont insérés des 6° ter à et 6° quinquies ainsi rédigés :</w:t>
      </w:r>
      <w:r w:rsidRPr="00874A27">
        <w:rPr>
          <w:rFonts w:ascii="Arial" w:eastAsia="Times New Roman" w:hAnsi="Arial" w:cs="Arial"/>
          <w:color w:val="000000"/>
          <w:sz w:val="19"/>
          <w:szCs w:val="19"/>
          <w:lang w:eastAsia="fr-FR"/>
        </w:rPr>
        <w:br/>
        <w:t>« 6° ter. A titre subsidiaire, de donner en location des logements conventionnés en application de l'article L. 351-2 en vue de proposer des places d'hébergement destinées aux personnes ou familles mentionnées au II de l'article L. 301-1, dès lors que les besoins ont été identifiés dans le plan départemental d'action pour le logement et l'hébergement des personnes défavorisées et que l'avis de la commune ou de l'établissement public de coopération intercommunale compétent en matière d'habitat a été recueilli :</w:t>
      </w:r>
      <w:r w:rsidRPr="00874A27">
        <w:rPr>
          <w:rFonts w:ascii="Arial" w:eastAsia="Times New Roman" w:hAnsi="Arial" w:cs="Arial"/>
          <w:color w:val="000000"/>
          <w:sz w:val="19"/>
          <w:szCs w:val="19"/>
          <w:lang w:eastAsia="fr-FR"/>
        </w:rPr>
        <w:br/>
        <w:t>« a) Aux organismes bénéficiant de l'agrément relatif à l'intermédiation locative et à la gestion locative sociale prévu à l'article L. 365-4 ;</w:t>
      </w:r>
      <w:r w:rsidRPr="00874A27">
        <w:rPr>
          <w:rFonts w:ascii="Arial" w:eastAsia="Times New Roman" w:hAnsi="Arial" w:cs="Arial"/>
          <w:color w:val="000000"/>
          <w:sz w:val="19"/>
          <w:szCs w:val="19"/>
          <w:lang w:eastAsia="fr-FR"/>
        </w:rPr>
        <w:br/>
        <w:t>« b) Aux organismes mentionnés au </w:t>
      </w:r>
      <w:hyperlink r:id="rId464" w:history="1">
        <w:r w:rsidRPr="00874A27">
          <w:rPr>
            <w:rFonts w:ascii="Arial" w:eastAsia="Times New Roman" w:hAnsi="Arial" w:cs="Arial"/>
            <w:color w:val="336699"/>
            <w:sz w:val="19"/>
            <w:szCs w:val="19"/>
            <w:u w:val="single"/>
            <w:lang w:eastAsia="fr-FR"/>
          </w:rPr>
          <w:t>8° du I de l'article L. 312-1 du code de l'action sociale et des familles</w:t>
        </w:r>
      </w:hyperlink>
      <w:r w:rsidRPr="00874A27">
        <w:rPr>
          <w:rFonts w:ascii="Arial" w:eastAsia="Times New Roman" w:hAnsi="Arial" w:cs="Arial"/>
          <w:color w:val="000000"/>
          <w:sz w:val="19"/>
          <w:szCs w:val="19"/>
          <w:lang w:eastAsia="fr-FR"/>
        </w:rPr>
        <w:t> et à l'article L. 322-1 du même code ;</w:t>
      </w:r>
      <w:r w:rsidRPr="00874A27">
        <w:rPr>
          <w:rFonts w:ascii="Arial" w:eastAsia="Times New Roman" w:hAnsi="Arial" w:cs="Arial"/>
          <w:color w:val="000000"/>
          <w:sz w:val="19"/>
          <w:szCs w:val="19"/>
          <w:lang w:eastAsia="fr-FR"/>
        </w:rPr>
        <w:br/>
        <w:t xml:space="preserve">« 6° quater. A titre subsidiaire, de donner en location des logements conventionnés en application de l'article L. 351-2 du présent code, en vue de proposer des places d'hébergement d'urgence et d'hébergement relais ou d'insertion, centres d'hébergement et de réinsertion sociale, au sein de structures spécifiques et sécurisées, destinées aux personnes mariées, liées par un pacte civil de solidarité ou vivant maritalement qui se trouvent dans une situation d'urgence, attestée par une ordonnance de protection délivrée par le juge aux affaires familiales en application du titre XIV du livre Ier du code civil, ou sont victimes de violences au sein du couple attestées par le récépissé du dépôt d'une plainte par la victime, dès lors que les besoins ont été identifiés dans le plan départemental d'action pour le logement et l'hébergement des personnes défavorisées et que l'avis de la commune ou de l'établissement public de coopération intercommunale compétent en matière </w:t>
      </w:r>
      <w:r w:rsidRPr="00874A27">
        <w:rPr>
          <w:rFonts w:ascii="Arial" w:eastAsia="Times New Roman" w:hAnsi="Arial" w:cs="Arial"/>
          <w:color w:val="000000"/>
          <w:sz w:val="19"/>
          <w:szCs w:val="19"/>
          <w:lang w:eastAsia="fr-FR"/>
        </w:rPr>
        <w:lastRenderedPageBreak/>
        <w:t>d'habitat a été recueilli ;</w:t>
      </w:r>
      <w:r w:rsidRPr="00874A27">
        <w:rPr>
          <w:rFonts w:ascii="Arial" w:eastAsia="Times New Roman" w:hAnsi="Arial" w:cs="Arial"/>
          <w:color w:val="000000"/>
          <w:sz w:val="19"/>
          <w:szCs w:val="19"/>
          <w:lang w:eastAsia="fr-FR"/>
        </w:rPr>
        <w:br/>
        <w:t>« 6° quinquies. A titre subsidiaire, de construire des établissements d'hébergement dès lors que les besoins ont été identifiés dans le plan départemental d'action pour le logement et l'hébergement des personnes défavorisées et que l'avis de la commune ou de l'établissement public de coopération intercommunale compétent en matière d'habitat a été recueilli ; »</w:t>
      </w:r>
      <w:r w:rsidRPr="00874A27">
        <w:rPr>
          <w:rFonts w:ascii="Arial" w:eastAsia="Times New Roman" w:hAnsi="Arial" w:cs="Arial"/>
          <w:color w:val="000000"/>
          <w:sz w:val="19"/>
          <w:szCs w:val="19"/>
          <w:lang w:eastAsia="fr-FR"/>
        </w:rPr>
        <w:br/>
        <w:t>d) Le 10° est complété par les mots : « ou par le contrat de vente d'immeuble à rénover prévu aux articles L. 262-1 et suivants » ;</w:t>
      </w:r>
      <w:r w:rsidRPr="00874A27">
        <w:rPr>
          <w:rFonts w:ascii="Arial" w:eastAsia="Times New Roman" w:hAnsi="Arial" w:cs="Arial"/>
          <w:color w:val="000000"/>
          <w:sz w:val="19"/>
          <w:szCs w:val="19"/>
          <w:lang w:eastAsia="fr-FR"/>
        </w:rPr>
        <w:br/>
        <w:t>e) Après le 11°, sont insérés trois alinéas ainsi rédigés :</w:t>
      </w:r>
      <w:r w:rsidRPr="00874A27">
        <w:rPr>
          <w:rFonts w:ascii="Arial" w:eastAsia="Times New Roman" w:hAnsi="Arial" w:cs="Arial"/>
          <w:color w:val="000000"/>
          <w:sz w:val="19"/>
          <w:szCs w:val="19"/>
          <w:lang w:eastAsia="fr-FR"/>
        </w:rPr>
        <w:br/>
        <w:t>« 12° De souscrire ou d'acquérir des parts dans des sociétés d'habitat participatif constituées en application du titre préliminaire du livre II ;</w:t>
      </w:r>
      <w:r w:rsidRPr="00874A27">
        <w:rPr>
          <w:rFonts w:ascii="Arial" w:eastAsia="Times New Roman" w:hAnsi="Arial" w:cs="Arial"/>
          <w:color w:val="000000"/>
          <w:sz w:val="19"/>
          <w:szCs w:val="19"/>
          <w:lang w:eastAsia="fr-FR"/>
        </w:rPr>
        <w:br/>
        <w:t>« 13° De racheter, dans le cadre de la garantie de rachat incluse dans les garanties prévues à l'article L. 411-2, des logements en vue de leur revente, à titre de résidence principale, à des personnes physiques de ressources modestes, en respectant des prix de vente maxima fixés par l'autorité administrative.</w:t>
      </w:r>
      <w:r w:rsidRPr="00874A27">
        <w:rPr>
          <w:rFonts w:ascii="Arial" w:eastAsia="Times New Roman" w:hAnsi="Arial" w:cs="Arial"/>
          <w:color w:val="000000"/>
          <w:sz w:val="19"/>
          <w:szCs w:val="19"/>
          <w:lang w:eastAsia="fr-FR"/>
        </w:rPr>
        <w:br/>
        <w:t>« Exclusivement dans les communes appartenant à une zone d'urbanisation continue de plus de 50 000 habitants définie à l'article 232 du code général des impôts ainsi que dans les communes de plus de 15 000 habitants en forte croissance démographique définies par décret pris en application du septième alinéa de l'article L. 302-5 du présent code, elles peuvent de même réaliser ou acquérir et améliorer, en complément de leur activité locative, en vue de leur vente à des personnes morales, soit lorsqu'une offre satisfaisante de ces logements n'est pas assurée dans un îlot, un quartier ou une commune, soit à la demande de la collectivité territoriale dans le cadre d'une action ou d'une opération d'aménagement ou de la mise en œuvre des objectifs de renouvellement urbain et de mixité sociale prévus dans les contrats de ville, des logements destinés à des personnes dont les ressources ne dépassent pas les plafonds fixés par le décret prévu au premier alinéa du III de l'article 199 novovicies du code général des impôts et respectant des prix de vente maxima fixés par l'autorité administrative. » ;</w:t>
      </w:r>
      <w:r w:rsidRPr="00874A27">
        <w:rPr>
          <w:rFonts w:ascii="Arial" w:eastAsia="Times New Roman" w:hAnsi="Arial" w:cs="Arial"/>
          <w:color w:val="000000"/>
          <w:sz w:val="19"/>
          <w:szCs w:val="19"/>
          <w:lang w:eastAsia="fr-FR"/>
        </w:rPr>
        <w:br/>
        <w:t>f) A la seconde phrase du quinzième alinéa, après le mot : « dégradées », sont insérés les mots : « ou lorsqu'elles sont situées dans le périmètre d'opérations de requalification de copropriétés dégradées prévues à l'article L. 741-1 » ;</w:t>
      </w:r>
      <w:r w:rsidRPr="00874A27">
        <w:rPr>
          <w:rFonts w:ascii="Arial" w:eastAsia="Times New Roman" w:hAnsi="Arial" w:cs="Arial"/>
          <w:color w:val="000000"/>
          <w:sz w:val="19"/>
          <w:szCs w:val="19"/>
          <w:lang w:eastAsia="fr-FR"/>
        </w:rPr>
        <w:br/>
        <w:t>g) Au seizième alinéa, après la référence : « L. 303-1 », sont insérés les mots : « ou dans le périmètre d'opérations de requalification de copropriétés dégradées prévues à l'article L. 741-1 » ;</w:t>
      </w:r>
      <w:r w:rsidRPr="00874A27">
        <w:rPr>
          <w:rFonts w:ascii="Arial" w:eastAsia="Times New Roman" w:hAnsi="Arial" w:cs="Arial"/>
          <w:color w:val="000000"/>
          <w:sz w:val="19"/>
          <w:szCs w:val="19"/>
          <w:lang w:eastAsia="fr-FR"/>
        </w:rPr>
        <w:br/>
        <w:t>h) Le dix-septième alinéa est complété par les mots et une phrase ainsi rédigée : « ou dans le périmètre d'opérations de requalification de copropriétés dégradées prévues à l'article L. 741-1. Elles peuvent intervenir comme opérateur, sans pouvoir être tiers-financeur, dans le cadre des procédures de l'article 29-11 de la loi n° 65-557 du 10 juillet 1965 fixant le statut de la copropriété des immeubles bâtis et de l'article L. 615-10 du présent code. » ;</w:t>
      </w:r>
      <w:r w:rsidRPr="00874A27">
        <w:rPr>
          <w:rFonts w:ascii="Arial" w:eastAsia="Times New Roman" w:hAnsi="Arial" w:cs="Arial"/>
          <w:color w:val="000000"/>
          <w:sz w:val="19"/>
          <w:szCs w:val="19"/>
          <w:lang w:eastAsia="fr-FR"/>
        </w:rPr>
        <w:br/>
        <w:t>i) Le vingtième alinéa est complété par une phrase ainsi rédigée :</w:t>
      </w:r>
      <w:r w:rsidRPr="00874A27">
        <w:rPr>
          <w:rFonts w:ascii="Arial" w:eastAsia="Times New Roman" w:hAnsi="Arial" w:cs="Arial"/>
          <w:color w:val="000000"/>
          <w:sz w:val="19"/>
          <w:szCs w:val="19"/>
          <w:lang w:eastAsia="fr-FR"/>
        </w:rPr>
        <w:br/>
        <w:t>« Elles peuvent également, selon des modalités fixées par leurs statuts, être syndic de copropriété et administrateurs de biens d'immeubles d'habitations et réaliser des prestations de service pour le compte de syndicats de copropriétaires qui ne répondent pas à ces conditions. » ;</w:t>
      </w:r>
      <w:r w:rsidRPr="00874A27">
        <w:rPr>
          <w:rFonts w:ascii="Arial" w:eastAsia="Times New Roman" w:hAnsi="Arial" w:cs="Arial"/>
          <w:color w:val="000000"/>
          <w:sz w:val="19"/>
          <w:szCs w:val="19"/>
          <w:lang w:eastAsia="fr-FR"/>
        </w:rPr>
        <w:br/>
        <w:t>j) Le vingt-quatrième alinéa est remplacé par quatre alinéas ainsi rédigés :</w:t>
      </w:r>
      <w:r w:rsidRPr="00874A27">
        <w:rPr>
          <w:rFonts w:ascii="Arial" w:eastAsia="Times New Roman" w:hAnsi="Arial" w:cs="Arial"/>
          <w:color w:val="000000"/>
          <w:sz w:val="19"/>
          <w:szCs w:val="19"/>
          <w:lang w:eastAsia="fr-FR"/>
        </w:rPr>
        <w:br/>
        <w:t>« Elles peuvent aussi acquérir la nue-propriété ou l'usufruit temporaire des logements visés à l'article L. 253-1, ou réserver ce dernier à leur profit :</w:t>
      </w:r>
      <w:r w:rsidRPr="00874A27">
        <w:rPr>
          <w:rFonts w:ascii="Arial" w:eastAsia="Times New Roman" w:hAnsi="Arial" w:cs="Arial"/>
          <w:color w:val="000000"/>
          <w:sz w:val="19"/>
          <w:szCs w:val="19"/>
          <w:lang w:eastAsia="fr-FR"/>
        </w:rPr>
        <w:br/>
        <w:t>« a) Au sein d'immeubles à usage principal d'habitation qu'elles réalisent en vue de leur vente à des personnes physiques ou morales dans les conditions prévues à l'article L. 261-3 ;</w:t>
      </w:r>
      <w:r w:rsidRPr="00874A27">
        <w:rPr>
          <w:rFonts w:ascii="Arial" w:eastAsia="Times New Roman" w:hAnsi="Arial" w:cs="Arial"/>
          <w:color w:val="000000"/>
          <w:sz w:val="19"/>
          <w:szCs w:val="19"/>
          <w:lang w:eastAsia="fr-FR"/>
        </w:rPr>
        <w:br/>
        <w:t>« b) A titre expérimental pendant une durée de cinq ans à compter de la promulgation de la </w:t>
      </w:r>
      <w:hyperlink r:id="rId465" w:history="1">
        <w:r w:rsidRPr="00874A27">
          <w:rPr>
            <w:rFonts w:ascii="Arial" w:eastAsia="Times New Roman" w:hAnsi="Arial" w:cs="Arial"/>
            <w:color w:val="336699"/>
            <w:sz w:val="19"/>
            <w:szCs w:val="19"/>
            <w:u w:val="single"/>
            <w:lang w:eastAsia="fr-FR"/>
          </w:rPr>
          <w:t>loi n° 2014-366 du 24 mars 2014</w:t>
        </w:r>
      </w:hyperlink>
      <w:r w:rsidRPr="00874A27">
        <w:rPr>
          <w:rFonts w:ascii="Arial" w:eastAsia="Times New Roman" w:hAnsi="Arial" w:cs="Arial"/>
          <w:color w:val="000000"/>
          <w:sz w:val="19"/>
          <w:szCs w:val="19"/>
          <w:lang w:eastAsia="fr-FR"/>
        </w:rPr>
        <w:t> pour l'accès au logement et un urbanisme rénové, au sein d'immeubles bâtis occupés ou non, dans les communes appartenant à une zone d'urbanisation continue de plus de 50 000 habitants telle que définie à l'</w:t>
      </w:r>
      <w:hyperlink r:id="rId466" w:history="1">
        <w:r w:rsidRPr="00874A27">
          <w:rPr>
            <w:rFonts w:ascii="Arial" w:eastAsia="Times New Roman" w:hAnsi="Arial" w:cs="Arial"/>
            <w:color w:val="336699"/>
            <w:sz w:val="19"/>
            <w:szCs w:val="19"/>
            <w:u w:val="single"/>
            <w:lang w:eastAsia="fr-FR"/>
          </w:rPr>
          <w:t>article 232 du code général des impôts</w:t>
        </w:r>
      </w:hyperlink>
      <w:r w:rsidRPr="00874A27">
        <w:rPr>
          <w:rFonts w:ascii="Arial" w:eastAsia="Times New Roman" w:hAnsi="Arial" w:cs="Arial"/>
          <w:color w:val="000000"/>
          <w:sz w:val="19"/>
          <w:szCs w:val="19"/>
          <w:lang w:eastAsia="fr-FR"/>
        </w:rPr>
        <w:t> ainsi que dans les communes de plus de 15 000 habitants en forte croissance démographique définies par décret pris en application du septième alinéa de l'article L. 302-5 du présent code ;</w:t>
      </w:r>
      <w:r w:rsidRPr="00874A27">
        <w:rPr>
          <w:rFonts w:ascii="Arial" w:eastAsia="Times New Roman" w:hAnsi="Arial" w:cs="Arial"/>
          <w:color w:val="000000"/>
          <w:sz w:val="19"/>
          <w:szCs w:val="19"/>
          <w:lang w:eastAsia="fr-FR"/>
        </w:rPr>
        <w:br/>
        <w:t>« La sous-section 1 de la section 2 du chapitre III du titre IV du présent livre n'est pas applicable aux opérations relevant des trois alinéas précédents. » ;</w:t>
      </w:r>
      <w:r w:rsidRPr="00874A27">
        <w:rPr>
          <w:rFonts w:ascii="Arial" w:eastAsia="Times New Roman" w:hAnsi="Arial" w:cs="Arial"/>
          <w:color w:val="000000"/>
          <w:sz w:val="19"/>
          <w:szCs w:val="19"/>
          <w:lang w:eastAsia="fr-FR"/>
        </w:rPr>
        <w:br/>
        <w:t>k) Après le vingt-septième alinéa, il est inséré un alinéa ainsi rédigé :</w:t>
      </w:r>
      <w:r w:rsidRPr="00874A27">
        <w:rPr>
          <w:rFonts w:ascii="Arial" w:eastAsia="Times New Roman" w:hAnsi="Arial" w:cs="Arial"/>
          <w:color w:val="000000"/>
          <w:sz w:val="19"/>
          <w:szCs w:val="19"/>
          <w:lang w:eastAsia="fr-FR"/>
        </w:rPr>
        <w:br/>
        <w:t>« A titre subsidiaire et à titre transitoire pour une période de six ans, elles peuvent également acquérir dans le cadre de l'article L. 261-1, à due concurrence de leurs apports, des logements mentionnés à l'article L. 411-2 auprès d'une société civile immobilière dans laquelle elles détiennent des parts et dont l'unique objet est la construction d'immeubles d'habitation ou à usage professionnel et d'habitation en vue de leur vente, à la condition que cette société réalise au moins 25 % de logements mentionnés à l'article L. 411-2 et soit constituée pour une durée n'excédant pas cinq ans. » ;</w:t>
      </w:r>
      <w:r w:rsidRPr="00874A27">
        <w:rPr>
          <w:rFonts w:ascii="Arial" w:eastAsia="Times New Roman" w:hAnsi="Arial" w:cs="Arial"/>
          <w:color w:val="000000"/>
          <w:sz w:val="19"/>
          <w:szCs w:val="19"/>
          <w:lang w:eastAsia="fr-FR"/>
        </w:rPr>
        <w:br/>
        <w:t>8° Le sixième alinéa de l'article L. 445-2 est complété par deux phrases ainsi rédigées :</w:t>
      </w:r>
      <w:r w:rsidRPr="00874A27">
        <w:rPr>
          <w:rFonts w:ascii="Arial" w:eastAsia="Times New Roman" w:hAnsi="Arial" w:cs="Arial"/>
          <w:color w:val="000000"/>
          <w:sz w:val="19"/>
          <w:szCs w:val="19"/>
          <w:lang w:eastAsia="fr-FR"/>
        </w:rPr>
        <w:br/>
        <w:t xml:space="preserve">« Toutefois, pendant la durée de la première convention, il peut être procédé par avenant à la fixation de ce montant maximal total des loyers, dans le respect des dispositions relatives au classement des </w:t>
      </w:r>
      <w:r w:rsidRPr="00874A27">
        <w:rPr>
          <w:rFonts w:ascii="Arial" w:eastAsia="Times New Roman" w:hAnsi="Arial" w:cs="Arial"/>
          <w:color w:val="000000"/>
          <w:sz w:val="19"/>
          <w:szCs w:val="19"/>
          <w:lang w:eastAsia="fr-FR"/>
        </w:rPr>
        <w:lastRenderedPageBreak/>
        <w:t>immeubles prévues à l'article L. 445-1. Cette fixation prend effet au début d'une année civile. » ;</w:t>
      </w:r>
      <w:r w:rsidRPr="00874A27">
        <w:rPr>
          <w:rFonts w:ascii="Arial" w:eastAsia="Times New Roman" w:hAnsi="Arial" w:cs="Arial"/>
          <w:color w:val="000000"/>
          <w:sz w:val="19"/>
          <w:szCs w:val="19"/>
          <w:lang w:eastAsia="fr-FR"/>
        </w:rPr>
        <w:br/>
        <w:t>9° Le deuxième alinéa du I de l'article L. 442-8-1 est complété par les mots : « en vue de les sous-louer » ;</w:t>
      </w:r>
      <w:r w:rsidRPr="00874A27">
        <w:rPr>
          <w:rFonts w:ascii="Arial" w:eastAsia="Times New Roman" w:hAnsi="Arial" w:cs="Arial"/>
          <w:color w:val="000000"/>
          <w:sz w:val="19"/>
          <w:szCs w:val="19"/>
          <w:lang w:eastAsia="fr-FR"/>
        </w:rPr>
        <w:br/>
        <w:t>10° Après l'article L. 442-8-1, il est inséré un article L. 442-8-1-1 ainsi rédigé :</w:t>
      </w:r>
      <w:r w:rsidRPr="00874A27">
        <w:rPr>
          <w:rFonts w:ascii="Arial" w:eastAsia="Times New Roman" w:hAnsi="Arial" w:cs="Arial"/>
          <w:color w:val="000000"/>
          <w:sz w:val="19"/>
          <w:szCs w:val="19"/>
          <w:lang w:eastAsia="fr-FR"/>
        </w:rPr>
        <w:br/>
        <w:t>« Art. L. 442-8-1-1. - I. ― Par dérogation à l'article L. 442-8, les organismes mentionnés à l'article L. 411-2 peuvent, à titre subsidiaire, louer, meublés ou non, des logements en vue de fournir des places d'hébergement à des personnes ou familles mentionnées au II de l'article L. 301-1 dès lors que les besoins ont été identifiés dans le plan départemental d'action pour le logement et l'hébergement des personnes défavorisées :</w:t>
      </w:r>
      <w:r w:rsidRPr="00874A27">
        <w:rPr>
          <w:rFonts w:ascii="Arial" w:eastAsia="Times New Roman" w:hAnsi="Arial" w:cs="Arial"/>
          <w:color w:val="000000"/>
          <w:sz w:val="19"/>
          <w:szCs w:val="19"/>
          <w:lang w:eastAsia="fr-FR"/>
        </w:rPr>
        <w:br/>
        <w:t>« 1° Aux organismes bénéficiant de l'agrément relatif à l'intermédiation locative et à la gestion locative sociale prévu à l'article L. 365-4 ;</w:t>
      </w:r>
      <w:r w:rsidRPr="00874A27">
        <w:rPr>
          <w:rFonts w:ascii="Arial" w:eastAsia="Times New Roman" w:hAnsi="Arial" w:cs="Arial"/>
          <w:color w:val="000000"/>
          <w:sz w:val="19"/>
          <w:szCs w:val="19"/>
          <w:lang w:eastAsia="fr-FR"/>
        </w:rPr>
        <w:br/>
        <w:t>« 2° Aux organismes mentionnés au </w:t>
      </w:r>
      <w:hyperlink r:id="rId467" w:history="1">
        <w:r w:rsidRPr="00874A27">
          <w:rPr>
            <w:rFonts w:ascii="Arial" w:eastAsia="Times New Roman" w:hAnsi="Arial" w:cs="Arial"/>
            <w:color w:val="336699"/>
            <w:sz w:val="19"/>
            <w:szCs w:val="19"/>
            <w:u w:val="single"/>
            <w:lang w:eastAsia="fr-FR"/>
          </w:rPr>
          <w:t>8° du I de l'article L. 312-1 du code de l'action sociale et des familles</w:t>
        </w:r>
      </w:hyperlink>
      <w:r w:rsidRPr="00874A27">
        <w:rPr>
          <w:rFonts w:ascii="Arial" w:eastAsia="Times New Roman" w:hAnsi="Arial" w:cs="Arial"/>
          <w:color w:val="000000"/>
          <w:sz w:val="19"/>
          <w:szCs w:val="19"/>
          <w:lang w:eastAsia="fr-FR"/>
        </w:rPr>
        <w:t> et à l'article L. 322-1 du même code.</w:t>
      </w:r>
      <w:r w:rsidRPr="00874A27">
        <w:rPr>
          <w:rFonts w:ascii="Arial" w:eastAsia="Times New Roman" w:hAnsi="Arial" w:cs="Arial"/>
          <w:color w:val="000000"/>
          <w:sz w:val="19"/>
          <w:szCs w:val="19"/>
          <w:lang w:eastAsia="fr-FR"/>
        </w:rPr>
        <w:br/>
        <w:t>« Les organismes mentionnés au présent I peuvent également, à titre subsidiaire, donner en location aux organismes mentionnés aux 1° et 2° du présent I des logements conventionnés en application de l'article L. 351-2 du présent code, en vue de proposer des places d'hébergement d'urgence et d'hébergement relais, destinées aux personnes mariées, liées par un pacte civil de solidarité ou vivant maritalement qui se trouvent dans une situation d'urgence, attestée par une ordonnance de protection délivrée par le juge aux affaires familiales en application du titre XIV du livre Ier du code civil, ou sont victimes de violences au sein du couple attestées par le récépissé du dépôt d'une plainte par la victime, dès lors que les besoins ont été identifiés dans le plan départemental d'action pour le logement et l'hébergement des personnes défavorisées.</w:t>
      </w:r>
      <w:r w:rsidRPr="00874A27">
        <w:rPr>
          <w:rFonts w:ascii="Arial" w:eastAsia="Times New Roman" w:hAnsi="Arial" w:cs="Arial"/>
          <w:color w:val="000000"/>
          <w:sz w:val="19"/>
          <w:szCs w:val="19"/>
          <w:lang w:eastAsia="fr-FR"/>
        </w:rPr>
        <w:br/>
        <w:t>« II. ― Les personnes hébergées dans le cadre du I ne sont pas assimilées à des locataires ou à des sous-locataires et l'article L. 442-8-2 ne leur est pas applicable. » ;</w:t>
      </w:r>
      <w:r w:rsidRPr="00874A27">
        <w:rPr>
          <w:rFonts w:ascii="Arial" w:eastAsia="Times New Roman" w:hAnsi="Arial" w:cs="Arial"/>
          <w:color w:val="000000"/>
          <w:sz w:val="19"/>
          <w:szCs w:val="19"/>
          <w:lang w:eastAsia="fr-FR"/>
        </w:rPr>
        <w:br/>
        <w:t>11° L'article L. 433-2 est complété par un alinéa ainsi rédigé :</w:t>
      </w:r>
      <w:r w:rsidRPr="00874A27">
        <w:rPr>
          <w:rFonts w:ascii="Arial" w:eastAsia="Times New Roman" w:hAnsi="Arial" w:cs="Arial"/>
          <w:color w:val="000000"/>
          <w:sz w:val="19"/>
          <w:szCs w:val="19"/>
          <w:lang w:eastAsia="fr-FR"/>
        </w:rPr>
        <w:br/>
        <w:t>« Dans les cinq ans suivant la publication de la </w:t>
      </w:r>
      <w:hyperlink r:id="rId468" w:history="1">
        <w:r w:rsidRPr="00874A27">
          <w:rPr>
            <w:rFonts w:ascii="Arial" w:eastAsia="Times New Roman" w:hAnsi="Arial" w:cs="Arial"/>
            <w:color w:val="336699"/>
            <w:sz w:val="19"/>
            <w:szCs w:val="19"/>
            <w:u w:val="single"/>
            <w:lang w:eastAsia="fr-FR"/>
          </w:rPr>
          <w:t>loi n° 2014-366 du 24 mars 2014</w:t>
        </w:r>
      </w:hyperlink>
      <w:r w:rsidRPr="00874A27">
        <w:rPr>
          <w:rFonts w:ascii="Arial" w:eastAsia="Times New Roman" w:hAnsi="Arial" w:cs="Arial"/>
          <w:color w:val="000000"/>
          <w:sz w:val="19"/>
          <w:szCs w:val="19"/>
          <w:lang w:eastAsia="fr-FR"/>
        </w:rPr>
        <w:t> pour l'accès au logement et un urbanisme rénové, un organisme d'habitations à loyer modéré peut également, dans le cadre de l'</w:t>
      </w:r>
      <w:hyperlink r:id="rId469" w:history="1">
        <w:r w:rsidRPr="00874A27">
          <w:rPr>
            <w:rFonts w:ascii="Arial" w:eastAsia="Times New Roman" w:hAnsi="Arial" w:cs="Arial"/>
            <w:color w:val="336699"/>
            <w:sz w:val="19"/>
            <w:szCs w:val="19"/>
            <w:u w:val="single"/>
            <w:lang w:eastAsia="fr-FR"/>
          </w:rPr>
          <w:t>article 1601-3 du code civil</w:t>
        </w:r>
      </w:hyperlink>
      <w:r w:rsidRPr="00874A27">
        <w:rPr>
          <w:rFonts w:ascii="Arial" w:eastAsia="Times New Roman" w:hAnsi="Arial" w:cs="Arial"/>
          <w:color w:val="000000"/>
          <w:sz w:val="19"/>
          <w:szCs w:val="19"/>
          <w:lang w:eastAsia="fr-FR"/>
        </w:rPr>
        <w:t> ou des articles L. 262-1 à L. 262-11 du présent code, vendre des logements à une personne privée dès lors que ces logements font partie, à titre accessoire, d'un programme de construction de logements sociaux et que ces logements sont réalisés sur des terrains, bâtis ou non, ayant été acquis dans le cadre des articles </w:t>
      </w:r>
      <w:hyperlink r:id="rId470" w:history="1">
        <w:r w:rsidRPr="00874A27">
          <w:rPr>
            <w:rFonts w:ascii="Arial" w:eastAsia="Times New Roman" w:hAnsi="Arial" w:cs="Arial"/>
            <w:color w:val="336699"/>
            <w:sz w:val="19"/>
            <w:szCs w:val="19"/>
            <w:u w:val="single"/>
            <w:lang w:eastAsia="fr-FR"/>
          </w:rPr>
          <w:t>L. 3211-7</w:t>
        </w:r>
      </w:hyperlink>
      <w:r w:rsidRPr="00874A27">
        <w:rPr>
          <w:rFonts w:ascii="Arial" w:eastAsia="Times New Roman" w:hAnsi="Arial" w:cs="Arial"/>
          <w:color w:val="000000"/>
          <w:sz w:val="19"/>
          <w:szCs w:val="19"/>
          <w:lang w:eastAsia="fr-FR"/>
        </w:rPr>
        <w:t> ou </w:t>
      </w:r>
      <w:hyperlink r:id="rId471" w:history="1">
        <w:r w:rsidRPr="00874A27">
          <w:rPr>
            <w:rFonts w:ascii="Arial" w:eastAsia="Times New Roman" w:hAnsi="Arial" w:cs="Arial"/>
            <w:color w:val="336699"/>
            <w:sz w:val="19"/>
            <w:szCs w:val="19"/>
            <w:u w:val="single"/>
            <w:lang w:eastAsia="fr-FR"/>
          </w:rPr>
          <w:t>L. 3211-13-1</w:t>
        </w:r>
      </w:hyperlink>
      <w:r w:rsidRPr="00874A27">
        <w:rPr>
          <w:rFonts w:ascii="Arial" w:eastAsia="Times New Roman" w:hAnsi="Arial" w:cs="Arial"/>
          <w:color w:val="000000"/>
          <w:sz w:val="19"/>
          <w:szCs w:val="19"/>
          <w:lang w:eastAsia="fr-FR"/>
        </w:rPr>
        <w:t> du code général de la propriété des personnes publiques. Cette vente est soumise à l'autorisation du représentant de l'Etat dans le département du lieu de l'opération et subordonnée au respect, par l'organisme d'habitations à loyer modéré, de critères définis par décret en Conseil d'Etat, prenant notamment en compte la production et la rénovation de logements locatifs sociaux, tels que définis à l'article L. 445-1 du présent code.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03" w:name="JORFARTI000028774227"/>
      <w:bookmarkEnd w:id="103"/>
      <w:r w:rsidRPr="00874A27">
        <w:rPr>
          <w:rFonts w:ascii="Arial" w:eastAsia="Times New Roman" w:hAnsi="Arial" w:cs="Arial"/>
          <w:b/>
          <w:bCs/>
          <w:color w:val="000000"/>
          <w:sz w:val="23"/>
          <w:szCs w:val="23"/>
          <w:lang w:eastAsia="fr-FR"/>
        </w:rPr>
        <w:t>Article 104 </w:t>
      </w:r>
      <w:hyperlink r:id="rId472" w:tooltip="En savoir plus sur l'article 10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général des impôts est ainsi modifié :</w:t>
      </w:r>
      <w:r w:rsidRPr="00874A27">
        <w:rPr>
          <w:rFonts w:ascii="Arial" w:eastAsia="Times New Roman" w:hAnsi="Arial" w:cs="Arial"/>
          <w:color w:val="000000"/>
          <w:sz w:val="19"/>
          <w:szCs w:val="19"/>
          <w:lang w:eastAsia="fr-FR"/>
        </w:rPr>
        <w:br/>
        <w:t>1° Après le 11° du 1 de l'article 207, il est inséré un 12° ainsi rédigé :</w:t>
      </w:r>
      <w:r w:rsidRPr="00874A27">
        <w:rPr>
          <w:rFonts w:ascii="Arial" w:eastAsia="Times New Roman" w:hAnsi="Arial" w:cs="Arial"/>
          <w:color w:val="000000"/>
          <w:sz w:val="19"/>
          <w:szCs w:val="19"/>
          <w:lang w:eastAsia="fr-FR"/>
        </w:rPr>
        <w:br/>
        <w:t>« 12° Les bénéfices, plus-values latentes et profits qui résulteraient de la transformation de la société de gestion du patrimoine immobilier des houillères du bassin du Nord et du Pas-de-Calais en société anonyme d'habitations à loyer modéré, pour les logements qui seront conventionnés à l'aide personnalisée au logement dans le cadre de la transformation. » ;</w:t>
      </w:r>
      <w:r w:rsidRPr="00874A27">
        <w:rPr>
          <w:rFonts w:ascii="Arial" w:eastAsia="Times New Roman" w:hAnsi="Arial" w:cs="Arial"/>
          <w:color w:val="000000"/>
          <w:sz w:val="19"/>
          <w:szCs w:val="19"/>
          <w:lang w:eastAsia="fr-FR"/>
        </w:rPr>
        <w:br/>
        <w:t>2° Le II de l'article 1384 C est complété par un alinéa ainsi rédigé :</w:t>
      </w:r>
      <w:r w:rsidRPr="00874A27">
        <w:rPr>
          <w:rFonts w:ascii="Arial" w:eastAsia="Times New Roman" w:hAnsi="Arial" w:cs="Arial"/>
          <w:color w:val="000000"/>
          <w:sz w:val="19"/>
          <w:szCs w:val="19"/>
          <w:lang w:eastAsia="fr-FR"/>
        </w:rPr>
        <w:br/>
        <w:t>« Les logements qui font l'objet d'une convention avec l'Agence nationale de l'habitat et qui seront conventionnés à l'aide personnalisée au logement après la transformation en société anonyme d'habitations à loyer modéré de la société de gestion du patrimoine immobilier des houillères du bassin du Nord et du Pas-de-Calais conservent le bénéfice de l'exonération de taxe foncière sur les propriétés bâties dans les conditions prévues aux deux premiers alinéas.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04" w:name="JORFARTI000028774233"/>
      <w:bookmarkEnd w:id="104"/>
      <w:r w:rsidRPr="00874A27">
        <w:rPr>
          <w:rFonts w:ascii="Arial" w:eastAsia="Times New Roman" w:hAnsi="Arial" w:cs="Arial"/>
          <w:b/>
          <w:bCs/>
          <w:color w:val="000000"/>
          <w:sz w:val="23"/>
          <w:szCs w:val="23"/>
          <w:lang w:eastAsia="fr-FR"/>
        </w:rPr>
        <w:t>Article 105 </w:t>
      </w:r>
      <w:hyperlink r:id="rId473" w:tooltip="En savoir plus sur l'article 10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Par dérogation au </w:t>
      </w:r>
      <w:hyperlink r:id="rId474" w:history="1">
        <w:r w:rsidRPr="00874A27">
          <w:rPr>
            <w:rFonts w:ascii="Arial" w:eastAsia="Times New Roman" w:hAnsi="Arial" w:cs="Arial"/>
            <w:color w:val="336699"/>
            <w:sz w:val="19"/>
            <w:szCs w:val="19"/>
            <w:u w:val="single"/>
            <w:lang w:eastAsia="fr-FR"/>
          </w:rPr>
          <w:t>premier alinéa de l'article L. 353-5 du code de la construction et de l'habitation</w:t>
        </w:r>
      </w:hyperlink>
      <w:r w:rsidRPr="00874A27">
        <w:rPr>
          <w:rFonts w:ascii="Arial" w:eastAsia="Times New Roman" w:hAnsi="Arial" w:cs="Arial"/>
          <w:color w:val="000000"/>
          <w:sz w:val="19"/>
          <w:szCs w:val="19"/>
          <w:lang w:eastAsia="fr-FR"/>
        </w:rPr>
        <w:t>, les logements appartenant à la société de gestion du patrimoine immobilier des houillères du bassin du Nord et du Pas-de-Calais réservés aux bénéficiaires listés à l'article 1er de la convention conclue en application de l'</w:t>
      </w:r>
      <w:hyperlink r:id="rId475" w:history="1">
        <w:r w:rsidRPr="00874A27">
          <w:rPr>
            <w:rFonts w:ascii="Arial" w:eastAsia="Times New Roman" w:hAnsi="Arial" w:cs="Arial"/>
            <w:color w:val="336699"/>
            <w:sz w:val="19"/>
            <w:szCs w:val="19"/>
            <w:u w:val="single"/>
            <w:lang w:eastAsia="fr-FR"/>
          </w:rPr>
          <w:t>article 4 du décret n° 2004-1466 du 23 décembre 2004</w:t>
        </w:r>
      </w:hyperlink>
      <w:r w:rsidRPr="00874A27">
        <w:rPr>
          <w:rFonts w:ascii="Arial" w:eastAsia="Times New Roman" w:hAnsi="Arial" w:cs="Arial"/>
          <w:color w:val="000000"/>
          <w:sz w:val="19"/>
          <w:szCs w:val="19"/>
          <w:lang w:eastAsia="fr-FR"/>
        </w:rPr>
        <w:t> relatif à l'Agence nationale pour la garantie des droits des mineurs ne sont pas soumis aux dispositions des conventions signées en application de l'article L. 351-2 du même code.</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Les logements mentionnés au premier alinéa du présent article ne sont pas soumis au chapitre Ier du titre IV du livre IV du code de la construction et de l'habitation.</w:t>
      </w:r>
      <w:r w:rsidRPr="00874A27">
        <w:rPr>
          <w:rFonts w:ascii="Arial" w:eastAsia="Times New Roman" w:hAnsi="Arial" w:cs="Arial"/>
          <w:color w:val="000000"/>
          <w:sz w:val="19"/>
          <w:szCs w:val="19"/>
          <w:lang w:eastAsia="fr-FR"/>
        </w:rPr>
        <w:br/>
        <w:t>Par dérogation au premier alinéa de l'article L. 445-1 du même code, la première convention d'utilité sociale conclue par la société anonyme d'habitations à loyer modéré issue de la transformation de la société de gestion du patrimoine immobilier des houillères du bassin du Nord et du Pas-de-Calais a pour échéance le 30 juin 2017.</w:t>
      </w:r>
      <w:r w:rsidRPr="00874A27">
        <w:rPr>
          <w:rFonts w:ascii="Arial" w:eastAsia="Times New Roman" w:hAnsi="Arial" w:cs="Arial"/>
          <w:color w:val="000000"/>
          <w:sz w:val="19"/>
          <w:szCs w:val="19"/>
          <w:lang w:eastAsia="fr-FR"/>
        </w:rPr>
        <w:br/>
        <w:t>Par dérogation au dernier alinéa de l'article L. 445-2 dudit code, la substitution des engagements de même nature intervient lors de la première révision du cahier des charges de gestion sociale de la société anonyme d'habitations à loyer modéré issue de la transformation de la société de gestion du patrimoine immobilier des houillères du bassin du Nord et du Pas-de-Calais.</w:t>
      </w:r>
      <w:r w:rsidRPr="00874A27">
        <w:rPr>
          <w:rFonts w:ascii="Arial" w:eastAsia="Times New Roman" w:hAnsi="Arial" w:cs="Arial"/>
          <w:color w:val="000000"/>
          <w:sz w:val="19"/>
          <w:szCs w:val="19"/>
          <w:lang w:eastAsia="fr-FR"/>
        </w:rPr>
        <w:br/>
        <w:t>Cette dérogation s'applique aux conventions conclues au titre de l'article L. 351-2 du même code entre cette société et l'Etat dans la période comprise entre la date de délivrance de l'agrément et la signature de la première convention d'utilité sociale.</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05" w:name="JORFARTI000028774237"/>
      <w:bookmarkEnd w:id="105"/>
      <w:r w:rsidRPr="00874A27">
        <w:rPr>
          <w:rFonts w:ascii="Arial" w:eastAsia="Times New Roman" w:hAnsi="Arial" w:cs="Arial"/>
          <w:b/>
          <w:bCs/>
          <w:color w:val="000000"/>
          <w:sz w:val="23"/>
          <w:szCs w:val="23"/>
          <w:lang w:eastAsia="fr-FR"/>
        </w:rPr>
        <w:t>Article 106 </w:t>
      </w:r>
      <w:hyperlink r:id="rId476" w:tooltip="En savoir plus sur l'article 10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9° de l'article L. 421-1, le quatorzième alinéa de l'article L. 422-2 et le 6° bis de l'article L. 422-3 du code de la construction et de l'habitation sont complétés par les mots : « le cas échéant, aux côtés d'opérateurs privés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06" w:name="JORFARTI000028774240"/>
      <w:bookmarkEnd w:id="106"/>
      <w:r w:rsidRPr="00874A27">
        <w:rPr>
          <w:rFonts w:ascii="Arial" w:eastAsia="Times New Roman" w:hAnsi="Arial" w:cs="Arial"/>
          <w:b/>
          <w:bCs/>
          <w:color w:val="000000"/>
          <w:sz w:val="23"/>
          <w:szCs w:val="23"/>
          <w:lang w:eastAsia="fr-FR"/>
        </w:rPr>
        <w:t>Article 107 </w:t>
      </w:r>
      <w:hyperlink r:id="rId477" w:tooltip="En savoir plus sur l'article 10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Au a du 4° du 1 de l'article 207 du code général des impôts, les mots : « huitième et neuvième » sont remplacés par les mots : « huitième, neuvième et dixième ».</w:t>
      </w:r>
      <w:r w:rsidRPr="00874A27">
        <w:rPr>
          <w:rFonts w:ascii="Arial" w:eastAsia="Times New Roman" w:hAnsi="Arial" w:cs="Arial"/>
          <w:color w:val="000000"/>
          <w:sz w:val="19"/>
          <w:szCs w:val="19"/>
          <w:lang w:eastAsia="fr-FR"/>
        </w:rPr>
        <w:br/>
        <w:t>II. ― La perte de recettes pour l'Etat est compensée à due concurrence par la création d'une taxe additionnelle aux droits visés aux articles </w:t>
      </w:r>
      <w:hyperlink r:id="rId478" w:history="1">
        <w:r w:rsidRPr="00874A27">
          <w:rPr>
            <w:rFonts w:ascii="Arial" w:eastAsia="Times New Roman" w:hAnsi="Arial" w:cs="Arial"/>
            <w:color w:val="336699"/>
            <w:sz w:val="19"/>
            <w:szCs w:val="19"/>
            <w:u w:val="single"/>
            <w:lang w:eastAsia="fr-FR"/>
          </w:rPr>
          <w:t>575</w:t>
        </w:r>
      </w:hyperlink>
      <w:r w:rsidRPr="00874A27">
        <w:rPr>
          <w:rFonts w:ascii="Arial" w:eastAsia="Times New Roman" w:hAnsi="Arial" w:cs="Arial"/>
          <w:color w:val="000000"/>
          <w:sz w:val="19"/>
          <w:szCs w:val="19"/>
          <w:lang w:eastAsia="fr-FR"/>
        </w:rPr>
        <w:t> et </w:t>
      </w:r>
      <w:hyperlink r:id="rId479" w:history="1">
        <w:r w:rsidRPr="00874A27">
          <w:rPr>
            <w:rFonts w:ascii="Arial" w:eastAsia="Times New Roman" w:hAnsi="Arial" w:cs="Arial"/>
            <w:color w:val="336699"/>
            <w:sz w:val="19"/>
            <w:szCs w:val="19"/>
            <w:u w:val="single"/>
            <w:lang w:eastAsia="fr-FR"/>
          </w:rPr>
          <w:t>575 A</w:t>
        </w:r>
      </w:hyperlink>
      <w:r w:rsidRPr="00874A27">
        <w:rPr>
          <w:rFonts w:ascii="Arial" w:eastAsia="Times New Roman" w:hAnsi="Arial" w:cs="Arial"/>
          <w:color w:val="000000"/>
          <w:sz w:val="19"/>
          <w:szCs w:val="19"/>
          <w:lang w:eastAsia="fr-FR"/>
        </w:rPr>
        <w:t> du code général des impôts.</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07" w:name="JORFARTI000028774245"/>
      <w:bookmarkEnd w:id="107"/>
      <w:r w:rsidRPr="00874A27">
        <w:rPr>
          <w:rFonts w:ascii="Arial" w:eastAsia="Times New Roman" w:hAnsi="Arial" w:cs="Arial"/>
          <w:b/>
          <w:bCs/>
          <w:color w:val="000000"/>
          <w:sz w:val="23"/>
          <w:szCs w:val="23"/>
          <w:lang w:eastAsia="fr-FR"/>
        </w:rPr>
        <w:t>Article 108 </w:t>
      </w:r>
      <w:hyperlink r:id="rId480" w:tooltip="En savoir plus sur l'article 10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421-20 du code de la construction et de l'habitation est ainsi modifié :</w:t>
      </w:r>
      <w:r w:rsidRPr="00874A27">
        <w:rPr>
          <w:rFonts w:ascii="Arial" w:eastAsia="Times New Roman" w:hAnsi="Arial" w:cs="Arial"/>
          <w:color w:val="000000"/>
          <w:sz w:val="19"/>
          <w:szCs w:val="19"/>
          <w:lang w:eastAsia="fr-FR"/>
        </w:rPr>
        <w:br/>
        <w:t>a) Au deuxième alinéa, les mots : « un compte ouvert » sont remplacés par les mots : « des comptes à vue et des comptes sur livret ouverts » ;</w:t>
      </w:r>
      <w:r w:rsidRPr="00874A27">
        <w:rPr>
          <w:rFonts w:ascii="Arial" w:eastAsia="Times New Roman" w:hAnsi="Arial" w:cs="Arial"/>
          <w:color w:val="000000"/>
          <w:sz w:val="19"/>
          <w:szCs w:val="19"/>
          <w:lang w:eastAsia="fr-FR"/>
        </w:rPr>
        <w:br/>
        <w:t>b) A la fin du dernier alinéa, les mots : « premier livret de la Caisse nationale d'épargne ou des caisses d'épargne et de prévoyance » sont remplacés par les mots : « livret A ».</w:t>
      </w:r>
      <w:r w:rsidRPr="00874A27">
        <w:rPr>
          <w:rFonts w:ascii="Arial" w:eastAsia="Times New Roman" w:hAnsi="Arial" w:cs="Arial"/>
          <w:color w:val="000000"/>
          <w:sz w:val="19"/>
          <w:szCs w:val="19"/>
          <w:lang w:eastAsia="fr-FR"/>
        </w:rPr>
        <w:br/>
        <w:t>II. ― Le second alinéa de l'article L. 421-22 du même code est ainsi modifié :</w:t>
      </w:r>
      <w:r w:rsidRPr="00874A27">
        <w:rPr>
          <w:rFonts w:ascii="Arial" w:eastAsia="Times New Roman" w:hAnsi="Arial" w:cs="Arial"/>
          <w:color w:val="000000"/>
          <w:sz w:val="19"/>
          <w:szCs w:val="19"/>
          <w:lang w:eastAsia="fr-FR"/>
        </w:rPr>
        <w:br/>
        <w:t>a) Le mot : « ouvert » est remplacé par les mots : « , un compte à vue et un compte sur livret ouverts » ;</w:t>
      </w:r>
      <w:r w:rsidRPr="00874A27">
        <w:rPr>
          <w:rFonts w:ascii="Arial" w:eastAsia="Times New Roman" w:hAnsi="Arial" w:cs="Arial"/>
          <w:color w:val="000000"/>
          <w:sz w:val="19"/>
          <w:szCs w:val="19"/>
          <w:lang w:eastAsia="fr-FR"/>
        </w:rPr>
        <w:br/>
        <w:t>b) A la fin, les mots : « premier livret de la Caisse nationale d'épargne ou des caisses d'épargne et de prévoyance » sont remplacés par les mots : « livret A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08" w:name="JORFARTI000028774253"/>
      <w:bookmarkEnd w:id="108"/>
      <w:r w:rsidRPr="00874A27">
        <w:rPr>
          <w:rFonts w:ascii="Arial" w:eastAsia="Times New Roman" w:hAnsi="Arial" w:cs="Arial"/>
          <w:b/>
          <w:bCs/>
          <w:color w:val="000000"/>
          <w:sz w:val="23"/>
          <w:szCs w:val="23"/>
          <w:lang w:eastAsia="fr-FR"/>
        </w:rPr>
        <w:t>Article 109 </w:t>
      </w:r>
      <w:hyperlink r:id="rId481" w:tooltip="En savoir plus sur l'article 10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troisième alinéa de l'article L. 221-3 du code monétaire et financier est complété par une phrase ainsi rédigée :</w:t>
      </w:r>
      <w:r w:rsidRPr="00874A27">
        <w:rPr>
          <w:rFonts w:ascii="Arial" w:eastAsia="Times New Roman" w:hAnsi="Arial" w:cs="Arial"/>
          <w:color w:val="000000"/>
          <w:sz w:val="19"/>
          <w:szCs w:val="19"/>
          <w:lang w:eastAsia="fr-FR"/>
        </w:rPr>
        <w:br/>
        <w:t>« Toutefois, les organismes d'habitations à loyer modéré peuvent ouvrir un ou plusieurs livrets A auprès des établissements de crédit mentionnés à l'article L. 221-1.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09" w:name="JORFARTI000028774256"/>
      <w:bookmarkEnd w:id="109"/>
      <w:r w:rsidRPr="00874A27">
        <w:rPr>
          <w:rFonts w:ascii="Arial" w:eastAsia="Times New Roman" w:hAnsi="Arial" w:cs="Arial"/>
          <w:b/>
          <w:bCs/>
          <w:color w:val="000000"/>
          <w:sz w:val="23"/>
          <w:szCs w:val="23"/>
          <w:lang w:eastAsia="fr-FR"/>
        </w:rPr>
        <w:t>Article 110 </w:t>
      </w:r>
      <w:hyperlink r:id="rId482" w:tooltip="En savoir plus sur l'article 11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premier alinéa de l'article L. 214-34 du même code est ainsi modifié :</w:t>
      </w:r>
      <w:r w:rsidRPr="00874A27">
        <w:rPr>
          <w:rFonts w:ascii="Arial" w:eastAsia="Times New Roman" w:hAnsi="Arial" w:cs="Arial"/>
          <w:color w:val="000000"/>
          <w:sz w:val="19"/>
          <w:szCs w:val="19"/>
          <w:lang w:eastAsia="fr-FR"/>
        </w:rPr>
        <w:br/>
        <w:t>1° A la première phrase, les mots : « qu'ils donnent en » sont remplacés par les mots : « destinés à la » ;</w:t>
      </w:r>
      <w:r w:rsidRPr="00874A27">
        <w:rPr>
          <w:rFonts w:ascii="Arial" w:eastAsia="Times New Roman" w:hAnsi="Arial" w:cs="Arial"/>
          <w:color w:val="000000"/>
          <w:sz w:val="19"/>
          <w:szCs w:val="19"/>
          <w:lang w:eastAsia="fr-FR"/>
        </w:rPr>
        <w:br/>
        <w:t>2° Est ajoutée une phrase ainsi rédigée :</w:t>
      </w:r>
      <w:r w:rsidRPr="00874A27">
        <w:rPr>
          <w:rFonts w:ascii="Arial" w:eastAsia="Times New Roman" w:hAnsi="Arial" w:cs="Arial"/>
          <w:color w:val="000000"/>
          <w:sz w:val="19"/>
          <w:szCs w:val="19"/>
          <w:lang w:eastAsia="fr-FR"/>
        </w:rPr>
        <w:br/>
        <w:t xml:space="preserve">« Toutefois, les organismes de placement collectif immobilier peuvent céder à tout moment les actifs immobiliers à usage d'habitation acquis en nue-propriété et relevant du chapitre III du titre V du livre </w:t>
      </w:r>
      <w:r w:rsidRPr="00874A27">
        <w:rPr>
          <w:rFonts w:ascii="Arial" w:eastAsia="Times New Roman" w:hAnsi="Arial" w:cs="Arial"/>
          <w:color w:val="000000"/>
          <w:sz w:val="19"/>
          <w:szCs w:val="19"/>
          <w:lang w:eastAsia="fr-FR"/>
        </w:rPr>
        <w:lastRenderedPageBreak/>
        <w:t>II du code de la construction et de l'habitation. »</w:t>
      </w:r>
      <w:r w:rsidRPr="00874A27">
        <w:rPr>
          <w:rFonts w:ascii="Arial" w:eastAsia="Times New Roman" w:hAnsi="Arial" w:cs="Arial"/>
          <w:color w:val="000000"/>
          <w:sz w:val="19"/>
          <w:szCs w:val="19"/>
          <w:lang w:eastAsia="fr-FR"/>
        </w:rPr>
        <w:br/>
        <w:t>II. ― L'article L. 214-114 du même code est ainsi modifié :</w:t>
      </w:r>
      <w:r w:rsidRPr="00874A27">
        <w:rPr>
          <w:rFonts w:ascii="Arial" w:eastAsia="Times New Roman" w:hAnsi="Arial" w:cs="Arial"/>
          <w:color w:val="000000"/>
          <w:sz w:val="19"/>
          <w:szCs w:val="19"/>
          <w:lang w:eastAsia="fr-FR"/>
        </w:rPr>
        <w:br/>
        <w:t>1° A la fin du premier alinéa, le mot : « locatif » est remplacé par les mots : « affecté à la location » ;</w:t>
      </w:r>
      <w:r w:rsidRPr="00874A27">
        <w:rPr>
          <w:rFonts w:ascii="Arial" w:eastAsia="Times New Roman" w:hAnsi="Arial" w:cs="Arial"/>
          <w:color w:val="000000"/>
          <w:sz w:val="19"/>
          <w:szCs w:val="19"/>
          <w:lang w:eastAsia="fr-FR"/>
        </w:rPr>
        <w:br/>
        <w:t>2° Le dernier alinéa est complété par les mots : « , cette double exigence ne s'appliquant pas toutefois aux actifs immobiliers à usage d'habitation acquis en nue-propriété et relevant du chapitre III du titre V du livre II du code de la construction et de l'habitation ».</w:t>
      </w:r>
      <w:r w:rsidRPr="00874A27">
        <w:rPr>
          <w:rFonts w:ascii="Arial" w:eastAsia="Times New Roman" w:hAnsi="Arial" w:cs="Arial"/>
          <w:color w:val="000000"/>
          <w:sz w:val="19"/>
          <w:szCs w:val="19"/>
          <w:lang w:eastAsia="fr-FR"/>
        </w:rPr>
        <w:br/>
        <w:t>III. ― Le I est applicable aux organismes de placement collectif immobilier et aux organismes professionnels de placement collectif immobilier, agréés par l'Autorité des marchés financiers à compter de la publication de la présente loi, et le II est applicable aux sociétés civiles de placement immobilier créées à compter de la publication de la présente loi.</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10" w:name="JORFARTI000028774267"/>
      <w:bookmarkEnd w:id="110"/>
      <w:r w:rsidRPr="00874A27">
        <w:rPr>
          <w:rFonts w:ascii="Arial" w:eastAsia="Times New Roman" w:hAnsi="Arial" w:cs="Arial"/>
          <w:b/>
          <w:bCs/>
          <w:color w:val="000000"/>
          <w:sz w:val="23"/>
          <w:szCs w:val="23"/>
          <w:lang w:eastAsia="fr-FR"/>
        </w:rPr>
        <w:t>Article 111 </w:t>
      </w:r>
      <w:hyperlink r:id="rId483" w:tooltip="En savoir plus sur l'article 11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de la construction et de l'habitation est ainsi modifié :</w:t>
      </w:r>
      <w:r w:rsidRPr="00874A27">
        <w:rPr>
          <w:rFonts w:ascii="Arial" w:eastAsia="Times New Roman" w:hAnsi="Arial" w:cs="Arial"/>
          <w:color w:val="000000"/>
          <w:sz w:val="19"/>
          <w:szCs w:val="19"/>
          <w:lang w:eastAsia="fr-FR"/>
        </w:rPr>
        <w:br/>
        <w:t>1° La seconde phrase du 1° de l'article L. 301-2 est complétée par les mots : « , notamment pour tenir compte de la nécessité d'adapter la localisation, la taille, les caractéristiques techniques et la gestion de l'opération, tout en maîtrisant la dépense de logement » ;</w:t>
      </w:r>
      <w:r w:rsidRPr="00874A27">
        <w:rPr>
          <w:rFonts w:ascii="Arial" w:eastAsia="Times New Roman" w:hAnsi="Arial" w:cs="Arial"/>
          <w:color w:val="000000"/>
          <w:sz w:val="19"/>
          <w:szCs w:val="19"/>
          <w:lang w:eastAsia="fr-FR"/>
        </w:rPr>
        <w:br/>
        <w:t>2° Le dernier alinéa de l'article L. 365-1 est complété par les mots : « et financées en conformité avec la décision 2012/21/UE de la Commission, du 20 décembre 2011, relative à l'application de l'article 106, paragraphe 2, du traité sur le fonctionnement de l'Union européenne aux aides d'Etat sous forme de compensations de service public octroyées à certaines entreprises chargées de la gestion de services d'intérêt économique général » ;</w:t>
      </w:r>
      <w:r w:rsidRPr="00874A27">
        <w:rPr>
          <w:rFonts w:ascii="Arial" w:eastAsia="Times New Roman" w:hAnsi="Arial" w:cs="Arial"/>
          <w:color w:val="000000"/>
          <w:sz w:val="19"/>
          <w:szCs w:val="19"/>
          <w:lang w:eastAsia="fr-FR"/>
        </w:rPr>
        <w:br/>
        <w:t>3° Au sixième alinéa de l'article L. 411-2, après le mot : « bénéficient », sont insérés les mots : « , en conformité avec la décision 2012/21/UE de la Commission, du 20 décembre 2011, relative à l'application de l'article 106, paragraphe 2, du traité sur le fonctionnement de l'Union européenne aux aides d'Etat sous forme de compensations de service public octroyées à certaines entreprises chargées de la gestion de services d'intérêt économique général, » ;</w:t>
      </w:r>
      <w:r w:rsidRPr="00874A27">
        <w:rPr>
          <w:rFonts w:ascii="Arial" w:eastAsia="Times New Roman" w:hAnsi="Arial" w:cs="Arial"/>
          <w:color w:val="000000"/>
          <w:sz w:val="19"/>
          <w:szCs w:val="19"/>
          <w:lang w:eastAsia="fr-FR"/>
        </w:rPr>
        <w:br/>
        <w:t>4° Après l'article L. 411-2, il est inséré un article L. 411-2-1 ainsi rédigé :</w:t>
      </w:r>
      <w:r w:rsidRPr="00874A27">
        <w:rPr>
          <w:rFonts w:ascii="Arial" w:eastAsia="Times New Roman" w:hAnsi="Arial" w:cs="Arial"/>
          <w:color w:val="000000"/>
          <w:sz w:val="19"/>
          <w:szCs w:val="19"/>
          <w:lang w:eastAsia="fr-FR"/>
        </w:rPr>
        <w:br/>
        <w:t>« Art. L. 411-2-1. - Une société d'économie mixte agréée en application de l'article L. 481-1 et réalisant exclusivement son activité dans le champ de l'article L. 411-2 peut, par voie de fusion ou de scission, transmettre son patrimoine à une ou plusieurs sociétés anonymes d'habitations à loyer modéré ou à une ou plusieurs sociétés d'économie mixte de même catégorie.</w:t>
      </w:r>
      <w:r w:rsidRPr="00874A27">
        <w:rPr>
          <w:rFonts w:ascii="Arial" w:eastAsia="Times New Roman" w:hAnsi="Arial" w:cs="Arial"/>
          <w:color w:val="000000"/>
          <w:sz w:val="19"/>
          <w:szCs w:val="19"/>
          <w:lang w:eastAsia="fr-FR"/>
        </w:rPr>
        <w:br/>
        <w:t>« De la même manière, une société anonyme d'habitations à loyer modéré peut, par voie de fusion ou de scission, transmettre son patrimoine à une ou plusieurs sociétés anonymes d'habitations à loyer modéré ou à une ou plusieurs sociétés d'économie mixte agréées en application de l'article L. 481-1 et réalisant exclusivement leur activité dans le champ de l'article L. 411-2.</w:t>
      </w:r>
      <w:r w:rsidRPr="00874A27">
        <w:rPr>
          <w:rFonts w:ascii="Arial" w:eastAsia="Times New Roman" w:hAnsi="Arial" w:cs="Arial"/>
          <w:color w:val="000000"/>
          <w:sz w:val="19"/>
          <w:szCs w:val="19"/>
          <w:lang w:eastAsia="fr-FR"/>
        </w:rPr>
        <w:br/>
        <w:t>« Le patrimoine apporté de la société absorbée ou scindée est inscrit dans les comptes de la société bénéficiaire pour la valeur nette comptable des actifs et des passifs transférés à la date d'effet du transfert.</w:t>
      </w:r>
      <w:r w:rsidRPr="00874A27">
        <w:rPr>
          <w:rFonts w:ascii="Arial" w:eastAsia="Times New Roman" w:hAnsi="Arial" w:cs="Arial"/>
          <w:color w:val="000000"/>
          <w:sz w:val="19"/>
          <w:szCs w:val="19"/>
          <w:lang w:eastAsia="fr-FR"/>
        </w:rPr>
        <w:br/>
        <w:t>« La rémunération des actionnaires de la société absorbée ou scindée est fixée sur la base du rapport d'échange entre les actions de cette société et celles de la société bénéficiaire, établi à la date d'effet du transfert, en fonction des capitaux propres non réévalués respectifs des deux sociétés.</w:t>
      </w:r>
      <w:r w:rsidRPr="00874A27">
        <w:rPr>
          <w:rFonts w:ascii="Arial" w:eastAsia="Times New Roman" w:hAnsi="Arial" w:cs="Arial"/>
          <w:color w:val="000000"/>
          <w:sz w:val="19"/>
          <w:szCs w:val="19"/>
          <w:lang w:eastAsia="fr-FR"/>
        </w:rPr>
        <w:br/>
        <w:t>« Toute opération de fusion ou de cession intervenue en violation du présent article est frappée d'une nullité d'ordre public. » ;</w:t>
      </w:r>
      <w:r w:rsidRPr="00874A27">
        <w:rPr>
          <w:rFonts w:ascii="Arial" w:eastAsia="Times New Roman" w:hAnsi="Arial" w:cs="Arial"/>
          <w:color w:val="000000"/>
          <w:sz w:val="19"/>
          <w:szCs w:val="19"/>
          <w:lang w:eastAsia="fr-FR"/>
        </w:rPr>
        <w:br/>
        <w:t>5° Au premier alinéa de l'article L. 422-11, après les mots : « fédérations d'organismes d'habitations à loyer modéré », sont insérés les mots : « ou à une ou plusieurs sociétés d'économie mixte de construction et de gestion de logements sociaux » ;</w:t>
      </w:r>
      <w:r w:rsidRPr="00874A27">
        <w:rPr>
          <w:rFonts w:ascii="Arial" w:eastAsia="Times New Roman" w:hAnsi="Arial" w:cs="Arial"/>
          <w:color w:val="000000"/>
          <w:sz w:val="19"/>
          <w:szCs w:val="19"/>
          <w:lang w:eastAsia="fr-FR"/>
        </w:rPr>
        <w:br/>
        <w:t>6° L'article L. 423-4 est ainsi rédigé :</w:t>
      </w:r>
      <w:r w:rsidRPr="00874A27">
        <w:rPr>
          <w:rFonts w:ascii="Arial" w:eastAsia="Times New Roman" w:hAnsi="Arial" w:cs="Arial"/>
          <w:color w:val="000000"/>
          <w:sz w:val="19"/>
          <w:szCs w:val="19"/>
          <w:lang w:eastAsia="fr-FR"/>
        </w:rPr>
        <w:br/>
        <w:t>« Art. L. 423-4. - Le prix maximal de cession des actions des sociétés d'habitations à loyer modéré mentionnées aux articles L. 422-2, L. 422-3 et L. 422-13 est limité au montant d'acquisition de ces actions, majoré, pour chaque année ayant précédé la cession, d'un intérêt calculé au taux servi au 31 décembre de l'année considérée aux détenteurs d'un livret A, majoré de 1,5 point et diminué des dividendes versés pendant la même période. Lorsque le montant ou la date d'acquisition ne peut être établi, il est appliqué le montant du nominal de ces actions pour une durée de détention ne pouvant excéder vingt ans.</w:t>
      </w:r>
      <w:r w:rsidRPr="00874A27">
        <w:rPr>
          <w:rFonts w:ascii="Arial" w:eastAsia="Times New Roman" w:hAnsi="Arial" w:cs="Arial"/>
          <w:color w:val="000000"/>
          <w:sz w:val="19"/>
          <w:szCs w:val="19"/>
          <w:lang w:eastAsia="fr-FR"/>
        </w:rPr>
        <w:br/>
        <w:t>« Tout acquéreur d'une ou des actions des sociétés mentionnées au premier alinéa du présent article, à l'exception des représentants des catégories mentionnées aux 2° et 3° du I de l'article L. 422-2-1, doit déposer un acte de cession au siège de cette société dans les trente jours suivant sa signature.</w:t>
      </w:r>
      <w:r w:rsidRPr="00874A27">
        <w:rPr>
          <w:rFonts w:ascii="Arial" w:eastAsia="Times New Roman" w:hAnsi="Arial" w:cs="Arial"/>
          <w:color w:val="000000"/>
          <w:sz w:val="19"/>
          <w:szCs w:val="19"/>
          <w:lang w:eastAsia="fr-FR"/>
        </w:rPr>
        <w:br/>
        <w:t>« Toute cession d'actions intervenue en violation du présent article est frappée d'une nullité d'ordre public.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7° Aux première et seconde phrases du dernier alinéa de l'article L. 423-5, les références : « des deux premiers alinéas » sont remplacées par la référence : « du premier alinéa » ;</w:t>
      </w:r>
      <w:r w:rsidRPr="00874A27">
        <w:rPr>
          <w:rFonts w:ascii="Arial" w:eastAsia="Times New Roman" w:hAnsi="Arial" w:cs="Arial"/>
          <w:color w:val="000000"/>
          <w:sz w:val="19"/>
          <w:szCs w:val="19"/>
          <w:lang w:eastAsia="fr-FR"/>
        </w:rPr>
        <w:br/>
        <w:t>8° L'article L. 481-1 est ainsi modifié :</w:t>
      </w:r>
      <w:r w:rsidRPr="00874A27">
        <w:rPr>
          <w:rFonts w:ascii="Arial" w:eastAsia="Times New Roman" w:hAnsi="Arial" w:cs="Arial"/>
          <w:color w:val="000000"/>
          <w:sz w:val="19"/>
          <w:szCs w:val="19"/>
          <w:lang w:eastAsia="fr-FR"/>
        </w:rPr>
        <w:br/>
        <w:t>a) Au début, sont ajoutés trois alinéas ainsi rédigés :</w:t>
      </w:r>
      <w:r w:rsidRPr="00874A27">
        <w:rPr>
          <w:rFonts w:ascii="Arial" w:eastAsia="Times New Roman" w:hAnsi="Arial" w:cs="Arial"/>
          <w:color w:val="000000"/>
          <w:sz w:val="19"/>
          <w:szCs w:val="19"/>
          <w:lang w:eastAsia="fr-FR"/>
        </w:rPr>
        <w:br/>
        <w:t>« Les sociétés d'économie mixte de construction et de gestion de logements sociaux sont agréées par le ministre chargé du logement en vue d'exercer une activité de construction et de gestion de logements sociaux, dans des conditions définies par décret en Conseil d'Etat.</w:t>
      </w:r>
      <w:r w:rsidRPr="00874A27">
        <w:rPr>
          <w:rFonts w:ascii="Arial" w:eastAsia="Times New Roman" w:hAnsi="Arial" w:cs="Arial"/>
          <w:color w:val="000000"/>
          <w:sz w:val="19"/>
          <w:szCs w:val="19"/>
          <w:lang w:eastAsia="fr-FR"/>
        </w:rPr>
        <w:br/>
        <w:t>« Seules peuvent être agréées les sociétés d'économie mixte mentionnées à l'article L. 1522-1 et au 1° de l'article L. 1525-1 du code général des collectivités territoriales. Cet agrément est obligatoire pour exercer une activité de construction et de gestion de logements sociaux.</w:t>
      </w:r>
      <w:r w:rsidRPr="00874A27">
        <w:rPr>
          <w:rFonts w:ascii="Arial" w:eastAsia="Times New Roman" w:hAnsi="Arial" w:cs="Arial"/>
          <w:color w:val="000000"/>
          <w:sz w:val="19"/>
          <w:szCs w:val="19"/>
          <w:lang w:eastAsia="fr-FR"/>
        </w:rPr>
        <w:br/>
        <w:t>« Par dérogation aux deux premiers alinéas, les sociétés d'économie mixte de construction et de gestion de logements sociaux liées par une convention d'utilité sociale à la date de publication de la loi n° 2014-366 du 24 mars 2014 pour l'accès au logement et un urbanisme rénové bénéficient de l'agrément pour exercer leur activité de construction et de gestion de logements sociaux. » ;</w:t>
      </w:r>
      <w:r w:rsidRPr="00874A27">
        <w:rPr>
          <w:rFonts w:ascii="Arial" w:eastAsia="Times New Roman" w:hAnsi="Arial" w:cs="Arial"/>
          <w:color w:val="000000"/>
          <w:sz w:val="19"/>
          <w:szCs w:val="19"/>
          <w:lang w:eastAsia="fr-FR"/>
        </w:rPr>
        <w:br/>
        <w:t>b) Au premier alinéa, après le mot : « bénéficient », sont insérés les mots : « , en conformité avec la décision 2012/21/UE de la Commission, du 20 décembre 2011, relative à l'application de l'article 106, paragraphe 2, du traité sur le fonctionnement de l'Union européenne aux aides d'Etat sous forme de compensations de service public octroyées à certaines entreprises chargées de la gestion de services d'intérêt économique général » ;</w:t>
      </w:r>
      <w:r w:rsidRPr="00874A27">
        <w:rPr>
          <w:rFonts w:ascii="Arial" w:eastAsia="Times New Roman" w:hAnsi="Arial" w:cs="Arial"/>
          <w:color w:val="000000"/>
          <w:sz w:val="19"/>
          <w:szCs w:val="19"/>
          <w:lang w:eastAsia="fr-FR"/>
        </w:rPr>
        <w:br/>
        <w:t>c) A la dernière phrase du dernier alinéa, le mot : « premier » est remplacé par le mot : « quatrième » ;</w:t>
      </w:r>
      <w:r w:rsidRPr="00874A27">
        <w:rPr>
          <w:rFonts w:ascii="Arial" w:eastAsia="Times New Roman" w:hAnsi="Arial" w:cs="Arial"/>
          <w:color w:val="000000"/>
          <w:sz w:val="19"/>
          <w:szCs w:val="19"/>
          <w:lang w:eastAsia="fr-FR"/>
        </w:rPr>
        <w:br/>
        <w:t>9° L'article L. 481-6 est ainsi rédigé :</w:t>
      </w:r>
      <w:r w:rsidRPr="00874A27">
        <w:rPr>
          <w:rFonts w:ascii="Arial" w:eastAsia="Times New Roman" w:hAnsi="Arial" w:cs="Arial"/>
          <w:color w:val="000000"/>
          <w:sz w:val="19"/>
          <w:szCs w:val="19"/>
          <w:lang w:eastAsia="fr-FR"/>
        </w:rPr>
        <w:br/>
        <w:t>« Art. L. 481-6. - Les conseils d'administration des sociétés d'économie mixte gérant des logements sociaux comprennent des représentants de leurs locataires.</w:t>
      </w:r>
      <w:r w:rsidRPr="00874A27">
        <w:rPr>
          <w:rFonts w:ascii="Arial" w:eastAsia="Times New Roman" w:hAnsi="Arial" w:cs="Arial"/>
          <w:color w:val="000000"/>
          <w:sz w:val="19"/>
          <w:szCs w:val="19"/>
          <w:lang w:eastAsia="fr-FR"/>
        </w:rPr>
        <w:br/>
        <w:t>« Les représentants des locataires ne prennent pas part au vote sur les questions qui n'ont pas d'incidence sur la gestion des logements de l'organisme faisant l'objet d'une convention conclue en application de l'article L. 351-2.</w:t>
      </w:r>
      <w:r w:rsidRPr="00874A27">
        <w:rPr>
          <w:rFonts w:ascii="Arial" w:eastAsia="Times New Roman" w:hAnsi="Arial" w:cs="Arial"/>
          <w:color w:val="000000"/>
          <w:sz w:val="19"/>
          <w:szCs w:val="19"/>
          <w:lang w:eastAsia="fr-FR"/>
        </w:rPr>
        <w:br/>
        <w:t>« Les représentants des locataires sont élus sur des listes de candidats présentées par des associations œuvrant dans le domaine du logement social.</w:t>
      </w:r>
      <w:r w:rsidRPr="00874A27">
        <w:rPr>
          <w:rFonts w:ascii="Arial" w:eastAsia="Times New Roman" w:hAnsi="Arial" w:cs="Arial"/>
          <w:color w:val="000000"/>
          <w:sz w:val="19"/>
          <w:szCs w:val="19"/>
          <w:lang w:eastAsia="fr-FR"/>
        </w:rPr>
        <w:br/>
        <w:t>« Ces associations doivent être indépendantes de tout parti politique ou organisation philosophique, confessionnelle, ethnique ou raciale et ne pas poursuivre des intérêts collectifs qui seraient en contradiction avec les objectifs du logement social fixés par le présent code.</w:t>
      </w:r>
      <w:r w:rsidRPr="00874A27">
        <w:rPr>
          <w:rFonts w:ascii="Arial" w:eastAsia="Times New Roman" w:hAnsi="Arial" w:cs="Arial"/>
          <w:color w:val="000000"/>
          <w:sz w:val="19"/>
          <w:szCs w:val="19"/>
          <w:lang w:eastAsia="fr-FR"/>
        </w:rPr>
        <w:br/>
        <w:t>« Un décret en Conseil d'Etat détermine, en tant que de besoin, les conditions d'application du présent article. » ;</w:t>
      </w:r>
      <w:r w:rsidRPr="00874A27">
        <w:rPr>
          <w:rFonts w:ascii="Arial" w:eastAsia="Times New Roman" w:hAnsi="Arial" w:cs="Arial"/>
          <w:color w:val="000000"/>
          <w:sz w:val="19"/>
          <w:szCs w:val="19"/>
          <w:lang w:eastAsia="fr-FR"/>
        </w:rPr>
        <w:br/>
        <w:t>10° Le chapitre Ier du titre VIII du livre IV est complété par un article L. 481-8 ainsi rédigé :</w:t>
      </w:r>
      <w:r w:rsidRPr="00874A27">
        <w:rPr>
          <w:rFonts w:ascii="Arial" w:eastAsia="Times New Roman" w:hAnsi="Arial" w:cs="Arial"/>
          <w:color w:val="000000"/>
          <w:sz w:val="19"/>
          <w:szCs w:val="19"/>
          <w:lang w:eastAsia="fr-FR"/>
        </w:rPr>
        <w:br/>
        <w:t>« Art. L. 481-8. - Les sociétés d'économie mixte agréées en application de l'article L. 481-1 sont tenues d'adresser annuellement un compte rendu de l'activité concernée par l'agrément et leurs comptes financiers au ministre chargé du logement. Un décret précise les documents administratifs à fournir et leurs modalités de transmission.</w:t>
      </w:r>
      <w:r w:rsidRPr="00874A27">
        <w:rPr>
          <w:rFonts w:ascii="Arial" w:eastAsia="Times New Roman" w:hAnsi="Arial" w:cs="Arial"/>
          <w:color w:val="000000"/>
          <w:sz w:val="19"/>
          <w:szCs w:val="19"/>
          <w:lang w:eastAsia="fr-FR"/>
        </w:rPr>
        <w:br/>
        <w:t>« Elles enregistrent les résultats de l'activité relevant de l'agrément sur un compte ne pouvant être utilisé qu'au financement de cette activité ou à la distribution d'un dividende, qui ne peut être supérieur à un pourcentage de la valeur nominale des actions égal ou inférieur au taux d'intérêt servi au détenteur d'un livret A au 31 décembre de l'année précédente, majoré de 1,5 point. »</w:t>
      </w:r>
      <w:r w:rsidRPr="00874A27">
        <w:rPr>
          <w:rFonts w:ascii="Arial" w:eastAsia="Times New Roman" w:hAnsi="Arial" w:cs="Arial"/>
          <w:color w:val="000000"/>
          <w:sz w:val="19"/>
          <w:szCs w:val="19"/>
          <w:lang w:eastAsia="fr-FR"/>
        </w:rPr>
        <w:br/>
        <w:t>II. ― Un décret en Conseil d'Etat prévoit les conditions dans lesquelles les sociétés d'économie mixte de construction et de gestion de logements sociaux satisfont à l'obligation prévue à l'</w:t>
      </w:r>
      <w:hyperlink r:id="rId484" w:history="1">
        <w:r w:rsidRPr="00874A27">
          <w:rPr>
            <w:rFonts w:ascii="Arial" w:eastAsia="Times New Roman" w:hAnsi="Arial" w:cs="Arial"/>
            <w:color w:val="336699"/>
            <w:sz w:val="19"/>
            <w:szCs w:val="19"/>
            <w:u w:val="single"/>
            <w:lang w:eastAsia="fr-FR"/>
          </w:rPr>
          <w:t>article L. 481-1 du code de la construction et de l'habitation</w:t>
        </w:r>
      </w:hyperlink>
      <w:r w:rsidRPr="00874A27">
        <w:rPr>
          <w:rFonts w:ascii="Arial" w:eastAsia="Times New Roman" w:hAnsi="Arial" w:cs="Arial"/>
          <w:color w:val="000000"/>
          <w:sz w:val="19"/>
          <w:szCs w:val="19"/>
          <w:lang w:eastAsia="fr-FR"/>
        </w:rPr>
        <w:t>, dans sa rédaction résultant du I du présent article, dans un délai de deux ans suivant la promulgation de la présente loi, et, notamment, le délai dans lequel le dossier de demande d'agrément doit être déposé.</w:t>
      </w:r>
      <w:r w:rsidRPr="00874A27">
        <w:rPr>
          <w:rFonts w:ascii="Arial" w:eastAsia="Times New Roman" w:hAnsi="Arial" w:cs="Arial"/>
          <w:color w:val="000000"/>
          <w:sz w:val="19"/>
          <w:szCs w:val="19"/>
          <w:lang w:eastAsia="fr-FR"/>
        </w:rPr>
        <w:br/>
        <w:t>III. ― L'article L. 481-8 du code de la construction et de l'habitation entre en vigueur à compter du 1er janvier 2015.</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11" w:name="JORFARTI000028774290"/>
      <w:bookmarkEnd w:id="111"/>
      <w:r w:rsidRPr="00874A27">
        <w:rPr>
          <w:rFonts w:ascii="Arial" w:eastAsia="Times New Roman" w:hAnsi="Arial" w:cs="Arial"/>
          <w:b/>
          <w:bCs/>
          <w:color w:val="000000"/>
          <w:sz w:val="23"/>
          <w:szCs w:val="23"/>
          <w:lang w:eastAsia="fr-FR"/>
        </w:rPr>
        <w:t>Article 112 </w:t>
      </w:r>
      <w:hyperlink r:id="rId485" w:tooltip="En savoir plus sur l'article 11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353-9-3 du même code est ainsi modifié :</w:t>
      </w:r>
      <w:r w:rsidRPr="00874A27">
        <w:rPr>
          <w:rFonts w:ascii="Arial" w:eastAsia="Times New Roman" w:hAnsi="Arial" w:cs="Arial"/>
          <w:color w:val="000000"/>
          <w:sz w:val="19"/>
          <w:szCs w:val="19"/>
          <w:lang w:eastAsia="fr-FR"/>
        </w:rPr>
        <w:br/>
        <w:t>1° Le premier alinéa est ainsi modifié :</w:t>
      </w:r>
      <w:r w:rsidRPr="00874A27">
        <w:rPr>
          <w:rFonts w:ascii="Arial" w:eastAsia="Times New Roman" w:hAnsi="Arial" w:cs="Arial"/>
          <w:color w:val="000000"/>
          <w:sz w:val="19"/>
          <w:szCs w:val="19"/>
          <w:lang w:eastAsia="fr-FR"/>
        </w:rPr>
        <w:br/>
        <w:t>a) A la première phrase, la référence : « d de l'article 17 » est remplacée par la référence : « I de l'article 17-1 » ;</w:t>
      </w:r>
      <w:r w:rsidRPr="00874A27">
        <w:rPr>
          <w:rFonts w:ascii="Arial" w:eastAsia="Times New Roman" w:hAnsi="Arial" w:cs="Arial"/>
          <w:color w:val="000000"/>
          <w:sz w:val="19"/>
          <w:szCs w:val="19"/>
          <w:lang w:eastAsia="fr-FR"/>
        </w:rPr>
        <w:br/>
        <w:t>b) A la seconde phrase, le mot : « troisième » est remplacé par le mot : « deuxième » ;</w:t>
      </w:r>
      <w:r w:rsidRPr="00874A27">
        <w:rPr>
          <w:rFonts w:ascii="Arial" w:eastAsia="Times New Roman" w:hAnsi="Arial" w:cs="Arial"/>
          <w:color w:val="000000"/>
          <w:sz w:val="19"/>
          <w:szCs w:val="19"/>
          <w:lang w:eastAsia="fr-FR"/>
        </w:rPr>
        <w:br/>
        <w:t>2° Le second alinéa est remplacé par deux alinéas ainsi rédigés :</w:t>
      </w:r>
      <w:r w:rsidRPr="00874A27">
        <w:rPr>
          <w:rFonts w:ascii="Arial" w:eastAsia="Times New Roman" w:hAnsi="Arial" w:cs="Arial"/>
          <w:color w:val="000000"/>
          <w:sz w:val="19"/>
          <w:szCs w:val="19"/>
          <w:lang w:eastAsia="fr-FR"/>
        </w:rPr>
        <w:br/>
        <w:t xml:space="preserve">« L'autorité administrative peut, dans la limite de 5 % au-delà du montant de l'indice de référence des loyers du deuxième trimestre, autoriser une société d'économie mixte à déroger au premier alinéa soit dans le cadre d'un plan de redressement approuvé par la Caisse de garantie du logement locatif </w:t>
      </w:r>
      <w:r w:rsidRPr="00874A27">
        <w:rPr>
          <w:rFonts w:ascii="Arial" w:eastAsia="Times New Roman" w:hAnsi="Arial" w:cs="Arial"/>
          <w:color w:val="000000"/>
          <w:sz w:val="19"/>
          <w:szCs w:val="19"/>
          <w:lang w:eastAsia="fr-FR"/>
        </w:rPr>
        <w:lastRenderedPageBreak/>
        <w:t>social, soit pour une partie du patrimoine de l'organisme ayant fait l'objet d'une réhabilitation et en vue d'assurer l'équilibre financier de l'opération.</w:t>
      </w:r>
      <w:r w:rsidRPr="00874A27">
        <w:rPr>
          <w:rFonts w:ascii="Arial" w:eastAsia="Times New Roman" w:hAnsi="Arial" w:cs="Arial"/>
          <w:color w:val="000000"/>
          <w:sz w:val="19"/>
          <w:szCs w:val="19"/>
          <w:lang w:eastAsia="fr-FR"/>
        </w:rPr>
        <w:br/>
        <w:t>« Pour les sociétés d'économie mixte ne dérogeant pas au sixième alinéa de l'article L. 445-2, l'augmentation du loyer pratiqué de chaque logement ne peut excéder, d'une année par rapport à l'année précédente, de plus de 5 % le montant maximal prévu en application du I de l'article 17-1 de la loi n° 89-462 du 6 juillet 1989 précitée, sauf accord des associations représentatives de locataires ou des locataires dans les conditions fixées à l'article 42 de la loi n° 86-1290 du 23 décembre 1986 tendant à favoriser l'investissement locatif, l'accession à la propriété de logements sociaux et le développement de l'offre foncière. »</w:t>
      </w:r>
      <w:r w:rsidRPr="00874A27">
        <w:rPr>
          <w:rFonts w:ascii="Arial" w:eastAsia="Times New Roman" w:hAnsi="Arial" w:cs="Arial"/>
          <w:color w:val="000000"/>
          <w:sz w:val="19"/>
          <w:szCs w:val="19"/>
          <w:lang w:eastAsia="fr-FR"/>
        </w:rPr>
        <w:br/>
        <w:t>II. ― A la </w:t>
      </w:r>
      <w:hyperlink r:id="rId486" w:history="1">
        <w:r w:rsidRPr="00874A27">
          <w:rPr>
            <w:rFonts w:ascii="Arial" w:eastAsia="Times New Roman" w:hAnsi="Arial" w:cs="Arial"/>
            <w:color w:val="336699"/>
            <w:sz w:val="19"/>
            <w:szCs w:val="19"/>
            <w:u w:val="single"/>
            <w:lang w:eastAsia="fr-FR"/>
          </w:rPr>
          <w:t>première phrase du premier alinéa du III de l'article 210 de la loi n° 2010-1657 du 29 décembre 2010 </w:t>
        </w:r>
      </w:hyperlink>
      <w:r w:rsidRPr="00874A27">
        <w:rPr>
          <w:rFonts w:ascii="Arial" w:eastAsia="Times New Roman" w:hAnsi="Arial" w:cs="Arial"/>
          <w:color w:val="000000"/>
          <w:sz w:val="19"/>
          <w:szCs w:val="19"/>
          <w:lang w:eastAsia="fr-FR"/>
        </w:rPr>
        <w:t>de finances pour 2011, la date : « 2013 » est remplacée par la date : « 2016 » et la référence : « d de l'article 17 » est remplacée par la référence : « I de l'article 17-1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12" w:name="JORFARTI000028774297"/>
      <w:bookmarkEnd w:id="112"/>
      <w:r w:rsidRPr="00874A27">
        <w:rPr>
          <w:rFonts w:ascii="Arial" w:eastAsia="Times New Roman" w:hAnsi="Arial" w:cs="Arial"/>
          <w:b/>
          <w:bCs/>
          <w:color w:val="000000"/>
          <w:sz w:val="23"/>
          <w:szCs w:val="23"/>
          <w:lang w:eastAsia="fr-FR"/>
        </w:rPr>
        <w:t>Article 113 </w:t>
      </w:r>
      <w:hyperlink r:id="rId487" w:tooltip="En savoir plus sur l'article 11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premier alinéa de l'article L. 251-6 du code de la construction et de l'habitation est complété par les mots : « sauf pour les contrats de bail de locaux d'habitation ».</w:t>
      </w:r>
      <w:r w:rsidRPr="00874A27">
        <w:rPr>
          <w:rFonts w:ascii="Arial" w:eastAsia="Times New Roman" w:hAnsi="Arial" w:cs="Arial"/>
          <w:color w:val="000000"/>
          <w:sz w:val="19"/>
          <w:szCs w:val="19"/>
          <w:lang w:eastAsia="fr-FR"/>
        </w:rPr>
        <w:br/>
        <w:t>II. ― L'article L. 451-2 du code rural et de la pêche maritime est complété par un alinéa ainsi rédigé :</w:t>
      </w:r>
      <w:r w:rsidRPr="00874A27">
        <w:rPr>
          <w:rFonts w:ascii="Arial" w:eastAsia="Times New Roman" w:hAnsi="Arial" w:cs="Arial"/>
          <w:color w:val="000000"/>
          <w:sz w:val="19"/>
          <w:szCs w:val="19"/>
          <w:lang w:eastAsia="fr-FR"/>
        </w:rPr>
        <w:br/>
        <w:t>« Concernant les locaux à usage d'habitation, régis par les dispositions d'ordre public de la </w:t>
      </w:r>
      <w:hyperlink r:id="rId488" w:history="1">
        <w:r w:rsidRPr="00874A27">
          <w:rPr>
            <w:rFonts w:ascii="Arial" w:eastAsia="Times New Roman" w:hAnsi="Arial" w:cs="Arial"/>
            <w:color w:val="336699"/>
            <w:sz w:val="19"/>
            <w:szCs w:val="19"/>
            <w:u w:val="single"/>
            <w:lang w:eastAsia="fr-FR"/>
          </w:rPr>
          <w:t>loi n° 89-462 du 6 juillet 1989</w:t>
        </w:r>
      </w:hyperlink>
      <w:r w:rsidRPr="00874A27">
        <w:rPr>
          <w:rFonts w:ascii="Arial" w:eastAsia="Times New Roman" w:hAnsi="Arial" w:cs="Arial"/>
          <w:color w:val="000000"/>
          <w:sz w:val="19"/>
          <w:szCs w:val="19"/>
          <w:lang w:eastAsia="fr-FR"/>
        </w:rPr>
        <w:t> tendant à améliorer les rapports locatifs et portant modification de la </w:t>
      </w:r>
      <w:hyperlink r:id="rId489"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les contrats de bail conclus par l'emphytéote avec les locataires se poursuivent automatiquement avec le propriétaire de l'immeuble jusqu'au terme de chacun des contrats de bail signés avec les locataires. »</w:t>
      </w:r>
      <w:r w:rsidRPr="00874A27">
        <w:rPr>
          <w:rFonts w:ascii="Arial" w:eastAsia="Times New Roman" w:hAnsi="Arial" w:cs="Arial"/>
          <w:color w:val="000000"/>
          <w:sz w:val="19"/>
          <w:szCs w:val="19"/>
          <w:lang w:eastAsia="fr-FR"/>
        </w:rPr>
        <w:br/>
        <w:t>III. ― L'article 10 de la loi n° 89-462 du 6 juillet 1989 précitée est complété par un alinéa ainsi rédigé :</w:t>
      </w:r>
      <w:r w:rsidRPr="00874A27">
        <w:rPr>
          <w:rFonts w:ascii="Arial" w:eastAsia="Times New Roman" w:hAnsi="Arial" w:cs="Arial"/>
          <w:color w:val="000000"/>
          <w:sz w:val="19"/>
          <w:szCs w:val="19"/>
          <w:lang w:eastAsia="fr-FR"/>
        </w:rPr>
        <w:br/>
        <w:t>« Concernant les locaux à usage d'habitation, régis par les dispositions d'ordre public de la présente loi, le contrat de bail conclu par l'emphytéote avec le locataire se poursuit automatiquement avec le propriétaire de l'immeuble jusqu'au terme du bail prévu par le contrat de location, lorsque le bail à construction ou le bail emphytéotique prend fin avant la fin du contrat de location. Toute clause contraire est réputée non écrite.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13" w:name="JORFARTI000028774306"/>
      <w:bookmarkEnd w:id="113"/>
      <w:r w:rsidRPr="00874A27">
        <w:rPr>
          <w:rFonts w:ascii="Arial" w:eastAsia="Times New Roman" w:hAnsi="Arial" w:cs="Arial"/>
          <w:b/>
          <w:bCs/>
          <w:color w:val="000000"/>
          <w:sz w:val="23"/>
          <w:szCs w:val="23"/>
          <w:lang w:eastAsia="fr-FR"/>
        </w:rPr>
        <w:t>Article 114 </w:t>
      </w:r>
      <w:hyperlink r:id="rId490" w:tooltip="En savoir plus sur l'article 11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421-6 du code de la construction et de l'habitation est ainsi modifié :</w:t>
      </w:r>
      <w:r w:rsidRPr="00874A27">
        <w:rPr>
          <w:rFonts w:ascii="Arial" w:eastAsia="Times New Roman" w:hAnsi="Arial" w:cs="Arial"/>
          <w:color w:val="000000"/>
          <w:sz w:val="19"/>
          <w:szCs w:val="19"/>
          <w:lang w:eastAsia="fr-FR"/>
        </w:rPr>
        <w:br/>
        <w:t>1° Après le 2°, il est inséré un 2° bis ainsi rédigé :</w:t>
      </w:r>
      <w:r w:rsidRPr="00874A27">
        <w:rPr>
          <w:rFonts w:ascii="Arial" w:eastAsia="Times New Roman" w:hAnsi="Arial" w:cs="Arial"/>
          <w:color w:val="000000"/>
          <w:sz w:val="19"/>
          <w:szCs w:val="19"/>
          <w:lang w:eastAsia="fr-FR"/>
        </w:rPr>
        <w:br/>
        <w:t>« 2° bis. A une région, dès lors qu'il n'existe pas de département dans lequel est situé plus de la moitié du patrimoine de l'office public de l'habitat ; »</w:t>
      </w:r>
      <w:r w:rsidRPr="00874A27">
        <w:rPr>
          <w:rFonts w:ascii="Arial" w:eastAsia="Times New Roman" w:hAnsi="Arial" w:cs="Arial"/>
          <w:color w:val="000000"/>
          <w:sz w:val="19"/>
          <w:szCs w:val="19"/>
          <w:lang w:eastAsia="fr-FR"/>
        </w:rPr>
        <w:br/>
        <w:t>2° Après le 3°, sont insérés deux alinéas ainsi rédigés :</w:t>
      </w:r>
      <w:r w:rsidRPr="00874A27">
        <w:rPr>
          <w:rFonts w:ascii="Arial" w:eastAsia="Times New Roman" w:hAnsi="Arial" w:cs="Arial"/>
          <w:color w:val="000000"/>
          <w:sz w:val="19"/>
          <w:szCs w:val="19"/>
          <w:lang w:eastAsia="fr-FR"/>
        </w:rPr>
        <w:br/>
        <w:t>« A partir du 1er janvier 2017, un office public de l'habitat ne peut être rattaché à une commune dès lors que celle-ci est membre d'un établissement public de coopération intercommunale compétent en matière d'habitat.</w:t>
      </w:r>
      <w:r w:rsidRPr="00874A27">
        <w:rPr>
          <w:rFonts w:ascii="Arial" w:eastAsia="Times New Roman" w:hAnsi="Arial" w:cs="Arial"/>
          <w:color w:val="000000"/>
          <w:sz w:val="19"/>
          <w:szCs w:val="19"/>
          <w:lang w:eastAsia="fr-FR"/>
        </w:rPr>
        <w:br/>
        <w:t>« Dans ce cas, au plus tard à la même date, après mise en demeure, le représentant de l'Etat dans le département prononce, selon des modalités définies par décret en Conseil d'Etat, le rattachement d'un office public communal à l'établissement public de coopération intercommunale compétent en matière d'habitat dont la commune est membre. » ;</w:t>
      </w:r>
      <w:r w:rsidRPr="00874A27">
        <w:rPr>
          <w:rFonts w:ascii="Arial" w:eastAsia="Times New Roman" w:hAnsi="Arial" w:cs="Arial"/>
          <w:color w:val="000000"/>
          <w:sz w:val="19"/>
          <w:szCs w:val="19"/>
          <w:lang w:eastAsia="fr-FR"/>
        </w:rPr>
        <w:br/>
        <w:t>3° Le dernier alinéa est remplacé par cinq alinéas ainsi rédigés :</w:t>
      </w:r>
      <w:r w:rsidRPr="00874A27">
        <w:rPr>
          <w:rFonts w:ascii="Arial" w:eastAsia="Times New Roman" w:hAnsi="Arial" w:cs="Arial"/>
          <w:color w:val="000000"/>
          <w:sz w:val="19"/>
          <w:szCs w:val="19"/>
          <w:lang w:eastAsia="fr-FR"/>
        </w:rPr>
        <w:br/>
        <w:t>« Dès lors que la commune à laquelle il est rattaché devient membre d'un établissement public de coopération intercommunale compétent en matière d'habitat, l'office public de l'habitat ne peut plus être rattaché à cette commune. Le changement de rattachement s'opère dans un délai de quatre ans à compter de l'installation du conseil communautaire de l'établissement public de coopération intercommunale nouvellement constitué ou de la transmission au représentant de l'Etat dans le département de la délibération communautaire décidant d'exercer la compétence en matière d'habitat.</w:t>
      </w:r>
      <w:r w:rsidRPr="00874A27">
        <w:rPr>
          <w:rFonts w:ascii="Arial" w:eastAsia="Times New Roman" w:hAnsi="Arial" w:cs="Arial"/>
          <w:color w:val="000000"/>
          <w:sz w:val="19"/>
          <w:szCs w:val="19"/>
          <w:lang w:eastAsia="fr-FR"/>
        </w:rPr>
        <w:br/>
        <w:t>« Ce délai échu, après mise en demeure, le représentant de l'Etat dans le département prononce, selon des modalités définies par décret en Conseil d'Etat, le rattachement d'un office public communal à l'établissement public de coopération intercommunale compétent en matière d'habitat dont la commune est membre.</w:t>
      </w:r>
      <w:r w:rsidRPr="00874A27">
        <w:rPr>
          <w:rFonts w:ascii="Arial" w:eastAsia="Times New Roman" w:hAnsi="Arial" w:cs="Arial"/>
          <w:color w:val="000000"/>
          <w:sz w:val="19"/>
          <w:szCs w:val="19"/>
          <w:lang w:eastAsia="fr-FR"/>
        </w:rPr>
        <w:br/>
        <w:t xml:space="preserve">« Un office public ne peut être rattaché à plusieurs départements. Dans ce cas, le changement de rattachement s'opère dans un délai de deux ans à compter de la promulgation de la loi n° 2014-366 du 24 mars 2014 pour l'accès au logement et un urbanisme rénové et au plus tard avant le 1er janvier 2017. Le représentant de l'Etat dans la région dans laquelle est situé le siège de l'office saisit </w:t>
      </w:r>
      <w:r w:rsidRPr="00874A27">
        <w:rPr>
          <w:rFonts w:ascii="Arial" w:eastAsia="Times New Roman" w:hAnsi="Arial" w:cs="Arial"/>
          <w:color w:val="000000"/>
          <w:sz w:val="19"/>
          <w:szCs w:val="19"/>
          <w:lang w:eastAsia="fr-FR"/>
        </w:rPr>
        <w:lastRenderedPageBreak/>
        <w:t>l'organe délibérant du département dans lequel est situé plus de la moitié du patrimoine de l'office afin qu'il se prononce sur le principe et les modalités du rattachement de l'office au département et ce dans un délai de trois mois à compter de sa saisine. S'il n'existe pas de département dans lequel est situé plus de la moitié du patrimoine de l'office, le représentant de l'Etat dans la région dans laquelle est situé le siège de l'office saisit l'organe délibérant de la région afin qu'il se prononce sur le principe et les modalités du rattachement de l'office à la région et ce dans un délai de trois mois à compter de sa saisine.</w:t>
      </w:r>
      <w:r w:rsidRPr="00874A27">
        <w:rPr>
          <w:rFonts w:ascii="Arial" w:eastAsia="Times New Roman" w:hAnsi="Arial" w:cs="Arial"/>
          <w:color w:val="000000"/>
          <w:sz w:val="19"/>
          <w:szCs w:val="19"/>
          <w:lang w:eastAsia="fr-FR"/>
        </w:rPr>
        <w:br/>
        <w:t>« Au vu de la délibération précitée, le représentant de l'Etat dans la région prononce le rattachement de l'office au département ou, le cas échéant, à la région, après consultation des organes délibérants des collectivités territoriales de rattachement et de l'office public de l'habitat, qui doivent se prononcer dans un délai de trois mois à compter de leur saisine. Les modalités de remboursement des collectivités territoriales auxquelles était rattaché l'office jusqu'à cette décision sont fixées par décret en Conseil d'Etat.</w:t>
      </w:r>
      <w:r w:rsidRPr="00874A27">
        <w:rPr>
          <w:rFonts w:ascii="Arial" w:eastAsia="Times New Roman" w:hAnsi="Arial" w:cs="Arial"/>
          <w:color w:val="000000"/>
          <w:sz w:val="19"/>
          <w:szCs w:val="19"/>
          <w:lang w:eastAsia="fr-FR"/>
        </w:rPr>
        <w:br/>
        <w:t>« Si aucun des organes délibérants consultés ne demande le rattachement de l'office, l'office est dissous par décret. Dans ce cas, par dérogation à l'article L. 421-7-1, l'excédent de liquidation est attribué obligatoirement aux collectivités de rattachement selon des modalités fixées par décret. »</w:t>
      </w:r>
      <w:r w:rsidRPr="00874A27">
        <w:rPr>
          <w:rFonts w:ascii="Arial" w:eastAsia="Times New Roman" w:hAnsi="Arial" w:cs="Arial"/>
          <w:color w:val="000000"/>
          <w:sz w:val="19"/>
          <w:szCs w:val="19"/>
          <w:lang w:eastAsia="fr-FR"/>
        </w:rPr>
        <w:br/>
        <w:t>II. ― Après l'article L. 421-6 du même code, il est inséré un article L. 421-6-1 ainsi rédigé :</w:t>
      </w:r>
      <w:r w:rsidRPr="00874A27">
        <w:rPr>
          <w:rFonts w:ascii="Arial" w:eastAsia="Times New Roman" w:hAnsi="Arial" w:cs="Arial"/>
          <w:color w:val="000000"/>
          <w:sz w:val="19"/>
          <w:szCs w:val="19"/>
          <w:lang w:eastAsia="fr-FR"/>
        </w:rPr>
        <w:br/>
        <w:t>« Art. L. 421-6-1. - A partir du 1er janvier 2017 et après délibération en ce sens des deux collectivités intéressées, l'office public de l'habitat "OPAC du Rhône”, rattaché au département du Rhône, est rattaché à la métropole de Lyon. »</w:t>
      </w:r>
      <w:r w:rsidRPr="00874A27">
        <w:rPr>
          <w:rFonts w:ascii="Arial" w:eastAsia="Times New Roman" w:hAnsi="Arial" w:cs="Arial"/>
          <w:color w:val="000000"/>
          <w:sz w:val="19"/>
          <w:szCs w:val="19"/>
          <w:lang w:eastAsia="fr-FR"/>
        </w:rPr>
        <w:br/>
        <w:t>III. ― La section 1 du chapitre Ier du titre II du livre IV du même code est complétée par un article L. 421-7-1 ainsi rédigé :</w:t>
      </w:r>
      <w:r w:rsidRPr="00874A27">
        <w:rPr>
          <w:rFonts w:ascii="Arial" w:eastAsia="Times New Roman" w:hAnsi="Arial" w:cs="Arial"/>
          <w:color w:val="000000"/>
          <w:sz w:val="19"/>
          <w:szCs w:val="19"/>
          <w:lang w:eastAsia="fr-FR"/>
        </w:rPr>
        <w:br/>
        <w:t>« Art. L. 421-7-1. - A la demande du conseil d'administration de l'office public de l'habitat, l'excédent de liquidation de l'office dissous peut être attribué, notamment, à un ou plusieurs organismes d'habitations à loyer modéré, à une ou plusieurs sociétés d'économie mixte de construction et de gestion de logements sociaux, à la collectivité territoriale ou à l'établissement public de coopération intercommunale de rattachement de l'office, par décret.</w:t>
      </w:r>
      <w:r w:rsidRPr="00874A27">
        <w:rPr>
          <w:rFonts w:ascii="Arial" w:eastAsia="Times New Roman" w:hAnsi="Arial" w:cs="Arial"/>
          <w:color w:val="000000"/>
          <w:sz w:val="19"/>
          <w:szCs w:val="19"/>
          <w:lang w:eastAsia="fr-FR"/>
        </w:rPr>
        <w:br/>
        <w:t>« L'excédent de liquidation est utilisé par ses attributaires pour le financement de la politique du logement social, selon des modalités définies par une convention entre le représentant de l'Etat dans le département ou la région et la personne morale bénéficiaire, ou dans le cadre des dispositions du présent code relatives au contrôle des organismes d'habitations à loyer modéré.</w:t>
      </w:r>
      <w:r w:rsidRPr="00874A27">
        <w:rPr>
          <w:rFonts w:ascii="Arial" w:eastAsia="Times New Roman" w:hAnsi="Arial" w:cs="Arial"/>
          <w:color w:val="000000"/>
          <w:sz w:val="19"/>
          <w:szCs w:val="19"/>
          <w:lang w:eastAsia="fr-FR"/>
        </w:rPr>
        <w:br/>
        <w:t>« Sans préjudice de l'application de l'article L. 443-13 et du deuxième alinéa du présent article, une part de cet excédent peut être affectée à un emploi librement décidé par la collectivité territoriale ou l'établissement public de coopération intercommunale de rattachement. Le montant de cette part ne peut excéder le montant de la dotation initiale majorée pour chaque année ayant précédé la dissolution, sans pouvoir excéder vingt années d'un intérêt calculé au taux servi au 31 décembre de l'année considérée aux détenteurs d'un livret A, majoré de 1,5 point. »</w:t>
      </w:r>
      <w:r w:rsidRPr="00874A27">
        <w:rPr>
          <w:rFonts w:ascii="Arial" w:eastAsia="Times New Roman" w:hAnsi="Arial" w:cs="Arial"/>
          <w:color w:val="000000"/>
          <w:sz w:val="19"/>
          <w:szCs w:val="19"/>
          <w:lang w:eastAsia="fr-FR"/>
        </w:rPr>
        <w:br/>
        <w:t>IV. ― La section 2 du même chapitre Ier est ainsi modifiée :</w:t>
      </w:r>
      <w:r w:rsidRPr="00874A27">
        <w:rPr>
          <w:rFonts w:ascii="Arial" w:eastAsia="Times New Roman" w:hAnsi="Arial" w:cs="Arial"/>
          <w:color w:val="000000"/>
          <w:sz w:val="19"/>
          <w:szCs w:val="19"/>
          <w:lang w:eastAsia="fr-FR"/>
        </w:rPr>
        <w:br/>
        <w:t>1° Après l'article L. 421-8, sont insérés des articles L. 421-8-1 et L. 421-8-2 ainsi rédigés :</w:t>
      </w:r>
      <w:r w:rsidRPr="00874A27">
        <w:rPr>
          <w:rFonts w:ascii="Arial" w:eastAsia="Times New Roman" w:hAnsi="Arial" w:cs="Arial"/>
          <w:color w:val="000000"/>
          <w:sz w:val="19"/>
          <w:szCs w:val="19"/>
          <w:lang w:eastAsia="fr-FR"/>
        </w:rPr>
        <w:br/>
        <w:t>« Art. L. 421-8-1. - Par dérogation au 1° de l'article L. 421-8, sur le territoire de la métropole du Grand Paris, le conseil de territoire désigne des représentants au conseil d'administration de l'office, en son sein et parmi des personnalités qualifiées au regard des interventions de l'office dans le domaine des politiques de l'habitat.</w:t>
      </w:r>
      <w:r w:rsidRPr="00874A27">
        <w:rPr>
          <w:rFonts w:ascii="Arial" w:eastAsia="Times New Roman" w:hAnsi="Arial" w:cs="Arial"/>
          <w:color w:val="000000"/>
          <w:sz w:val="19"/>
          <w:szCs w:val="19"/>
          <w:lang w:eastAsia="fr-FR"/>
        </w:rPr>
        <w:br/>
        <w:t>« Art. L. 421-8-2. - Par dérogation à l'article L. 421-8, le conseil d'administration de l'office public de l'habitat "OPAC du Rhône”, rattaché à la métropole de Lyon dans les conditions prévues à l'article L. 421-6-1, comprend des représentants du département du Rhône, dans des conditions fixées par décret en Conseil d'Etat. » ;</w:t>
      </w:r>
      <w:r w:rsidRPr="00874A27">
        <w:rPr>
          <w:rFonts w:ascii="Arial" w:eastAsia="Times New Roman" w:hAnsi="Arial" w:cs="Arial"/>
          <w:color w:val="000000"/>
          <w:sz w:val="19"/>
          <w:szCs w:val="19"/>
          <w:lang w:eastAsia="fr-FR"/>
        </w:rPr>
        <w:br/>
        <w:t>2° A l'article L. 421-13, le mot : « successives » est remplacé par les mots : « pendant une période de douze mois » ;</w:t>
      </w:r>
      <w:r w:rsidRPr="00874A27">
        <w:rPr>
          <w:rFonts w:ascii="Arial" w:eastAsia="Times New Roman" w:hAnsi="Arial" w:cs="Arial"/>
          <w:color w:val="000000"/>
          <w:sz w:val="19"/>
          <w:szCs w:val="19"/>
          <w:lang w:eastAsia="fr-FR"/>
        </w:rPr>
        <w:br/>
        <w:t>3° Après l'article L. 421-13, il est inséré un article L. 421-13-1 ainsi rédigé :</w:t>
      </w:r>
      <w:r w:rsidRPr="00874A27">
        <w:rPr>
          <w:rFonts w:ascii="Arial" w:eastAsia="Times New Roman" w:hAnsi="Arial" w:cs="Arial"/>
          <w:color w:val="000000"/>
          <w:sz w:val="19"/>
          <w:szCs w:val="19"/>
          <w:lang w:eastAsia="fr-FR"/>
        </w:rPr>
        <w:br/>
        <w:t>« Art. L. 421-13-1. - Lorsqu'une collectivité territoriale ou un établissement public de rattachement d'un office ne nomme pas de représentants au conseil d'administration pendant une période de six mois en application de l'article L. 421-8, ou lorsque le représentant de la collectivité territoriale ou de l'établissement public de rattachement de l'office ne siège pas au conseil d'administration de l'office malgré l'épuisement des moyens dont dispose le représentant de l'Etat pour mettre fin à cette situation en vertu de l'article L. 421-13, le représentant de l'Etat dans le département ou dans la région peut prononcer, après mise en demeure, la déchéance de la collectivité de rattachement de l'office.</w:t>
      </w:r>
      <w:r w:rsidRPr="00874A27">
        <w:rPr>
          <w:rFonts w:ascii="Arial" w:eastAsia="Times New Roman" w:hAnsi="Arial" w:cs="Arial"/>
          <w:color w:val="000000"/>
          <w:sz w:val="19"/>
          <w:szCs w:val="19"/>
          <w:lang w:eastAsia="fr-FR"/>
        </w:rPr>
        <w:br/>
        <w:t>« Sans préjudice des dispositions de l'article L. 342-14, le représentant de l'Etat dans le département ou dans la région peut également prononcer, après mise en demeure, le rattachement de l'office à une autre collectivité territoriale ou à un autre établissement public de coopération intercommunale compétent en matière d'habitat, si la moitié du patrimoine de l'office est située sur le territoire de cette collectivité ou de cet établissement public et après accord de son organe délibérant. »</w:t>
      </w:r>
      <w:r w:rsidRPr="00874A27">
        <w:rPr>
          <w:rFonts w:ascii="Arial" w:eastAsia="Times New Roman" w:hAnsi="Arial" w:cs="Arial"/>
          <w:color w:val="000000"/>
          <w:sz w:val="19"/>
          <w:szCs w:val="19"/>
          <w:lang w:eastAsia="fr-FR"/>
        </w:rPr>
        <w:br/>
        <w:t>V. ― L'article L. 443-7 du même code est ainsi modifié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1° Le premier alinéa est complété par une phrase ainsi rédigée :</w:t>
      </w:r>
      <w:r w:rsidRPr="00874A27">
        <w:rPr>
          <w:rFonts w:ascii="Arial" w:eastAsia="Times New Roman" w:hAnsi="Arial" w:cs="Arial"/>
          <w:color w:val="000000"/>
          <w:sz w:val="19"/>
          <w:szCs w:val="19"/>
          <w:lang w:eastAsia="fr-FR"/>
        </w:rPr>
        <w:br/>
        <w:t>« Ces logements, dès lors qu'ils sont situés dans des immeubles collectifs, doivent en outre répondre à des normes de performance énergétique minimale fixées par décret. » ;</w:t>
      </w:r>
      <w:r w:rsidRPr="00874A27">
        <w:rPr>
          <w:rFonts w:ascii="Arial" w:eastAsia="Times New Roman" w:hAnsi="Arial" w:cs="Arial"/>
          <w:color w:val="000000"/>
          <w:sz w:val="19"/>
          <w:szCs w:val="19"/>
          <w:lang w:eastAsia="fr-FR"/>
        </w:rPr>
        <w:br/>
        <w:t>2° Après le troisième alinéa, sont insérés deux alinéas ainsi rédigés :</w:t>
      </w:r>
      <w:r w:rsidRPr="00874A27">
        <w:rPr>
          <w:rFonts w:ascii="Arial" w:eastAsia="Times New Roman" w:hAnsi="Arial" w:cs="Arial"/>
          <w:color w:val="000000"/>
          <w:sz w:val="19"/>
          <w:szCs w:val="19"/>
          <w:lang w:eastAsia="fr-FR"/>
        </w:rPr>
        <w:br/>
        <w:t>« A défaut de commencement d'exécution de la décision d'aliéner dans un délai de cinq ans à compter de la date à laquelle l'autorisation implicite est intervenue ou à laquelle l'autorisation a été notifiée au bénéficiaire, cette autorisation est caduque. Ce délai peut être prorogé par l'autorité ayant accordé l'autorisation de vente. »</w:t>
      </w:r>
      <w:r w:rsidRPr="00874A27">
        <w:rPr>
          <w:rFonts w:ascii="Arial" w:eastAsia="Times New Roman" w:hAnsi="Arial" w:cs="Arial"/>
          <w:color w:val="000000"/>
          <w:sz w:val="19"/>
          <w:szCs w:val="19"/>
          <w:lang w:eastAsia="fr-FR"/>
        </w:rPr>
        <w:br/>
        <w:t>« Lorsqu'une métropole régie par le chapitre VII du titre Ier du livre II de la cinquième partie du code général des collectivités territoriales ou la métropole du Grand Lyon a pris la compétence de délivrance aux organismes d'habitations à loyer modéré des agréments d'aliénation de logements prévue au présent article, la décision d'aliéner est transmise au président du conseil de la métropole où est situé le logement qui consulte la commune d'implantation ainsi que les collectivités publiques qui ont accordé un financement ou leur garantie aux emprunts contractés pour la construction, l'acquisition ou l'amélioration des logements. La commune émet son avis dans le délai de deux mois à compter du jour où le maire a reçu la consultation du président du conseil de la métropole. Faute d'avis de la commune à l'issue de ce délai, celui-ci est réputé favorable. A défaut d'opposition motivée du président du conseil de la métropole dans un délai de quatre mois, la décision est exécutoire. En cas de non-respect de l'obligation de transmission au président du conseil de la métropole de la décision d'aliéner, lorsqu'il s'agit d'un contrat de vente à une personne morale, le contrat est entaché de nullité. L'action en nullité peut être intentée par l'autorité administrative ou par un tiers dans un délai de cinq ans à compter de la publication de l'acte au fichier immobilier. » ;</w:t>
      </w:r>
      <w:r w:rsidRPr="00874A27">
        <w:rPr>
          <w:rFonts w:ascii="Arial" w:eastAsia="Times New Roman" w:hAnsi="Arial" w:cs="Arial"/>
          <w:color w:val="000000"/>
          <w:sz w:val="19"/>
          <w:szCs w:val="19"/>
          <w:lang w:eastAsia="fr-FR"/>
        </w:rPr>
        <w:br/>
        <w:t>3° Au quatrième alinéa, après le mot : « logement », sont insérés les mots : « ou le président du conseil de la métropole dans la situation prévue au cinquième alinéa » ;</w:t>
      </w:r>
      <w:r w:rsidRPr="00874A27">
        <w:rPr>
          <w:rFonts w:ascii="Arial" w:eastAsia="Times New Roman" w:hAnsi="Arial" w:cs="Arial"/>
          <w:color w:val="000000"/>
          <w:sz w:val="19"/>
          <w:szCs w:val="19"/>
          <w:lang w:eastAsia="fr-FR"/>
        </w:rPr>
        <w:br/>
        <w:t>4° A la première phrase du septième alinéa, après le mot : « Etat », sont insérés les mots : « ou du président du conseil de la métropole dans la situation prévue au cinquième alinéa ».</w:t>
      </w:r>
      <w:r w:rsidRPr="00874A27">
        <w:rPr>
          <w:rFonts w:ascii="Arial" w:eastAsia="Times New Roman" w:hAnsi="Arial" w:cs="Arial"/>
          <w:color w:val="000000"/>
          <w:sz w:val="19"/>
          <w:szCs w:val="19"/>
          <w:lang w:eastAsia="fr-FR"/>
        </w:rPr>
        <w:br/>
        <w:t>VI. ― A la première phrase de l'article L. 443-8 du même code, après les mots : « du logement », sont insérés les mots : « ou du président du conseil de la métropole dans la situation prévue au cinquième alinéa de l'article L. 443-7 ».</w:t>
      </w:r>
      <w:r w:rsidRPr="00874A27">
        <w:rPr>
          <w:rFonts w:ascii="Arial" w:eastAsia="Times New Roman" w:hAnsi="Arial" w:cs="Arial"/>
          <w:color w:val="000000"/>
          <w:sz w:val="19"/>
          <w:szCs w:val="19"/>
          <w:lang w:eastAsia="fr-FR"/>
        </w:rPr>
        <w:br/>
        <w:t>VII. ― L'article L. 443-11 du même code est ainsi modifié :</w:t>
      </w:r>
      <w:r w:rsidRPr="00874A27">
        <w:rPr>
          <w:rFonts w:ascii="Arial" w:eastAsia="Times New Roman" w:hAnsi="Arial" w:cs="Arial"/>
          <w:color w:val="000000"/>
          <w:sz w:val="19"/>
          <w:szCs w:val="19"/>
          <w:lang w:eastAsia="fr-FR"/>
        </w:rPr>
        <w:br/>
        <w:t>1° Le sixième alinéa est supprimé ;</w:t>
      </w:r>
      <w:r w:rsidRPr="00874A27">
        <w:rPr>
          <w:rFonts w:ascii="Arial" w:eastAsia="Times New Roman" w:hAnsi="Arial" w:cs="Arial"/>
          <w:color w:val="000000"/>
          <w:sz w:val="19"/>
          <w:szCs w:val="19"/>
          <w:lang w:eastAsia="fr-FR"/>
        </w:rPr>
        <w:br/>
        <w:t>2° Au septième alinéa, le mot « huitième » est remplacé, deux fois, par le mot « septième » ;</w:t>
      </w:r>
      <w:r w:rsidRPr="00874A27">
        <w:rPr>
          <w:rFonts w:ascii="Arial" w:eastAsia="Times New Roman" w:hAnsi="Arial" w:cs="Arial"/>
          <w:color w:val="000000"/>
          <w:sz w:val="19"/>
          <w:szCs w:val="19"/>
          <w:lang w:eastAsia="fr-FR"/>
        </w:rPr>
        <w:br/>
        <w:t>3° A la première phrase du huitième alinéa, après le mot : « mixte », sont insérés les mots : « ou à un organisme bénéficiant de l'agrément relatif à la maîtrise d'ouvrage prévu à l'article L. 365-2 » et les mots : « et d'habitabilité » sont remplacés par les mots : « , d'habitabilité et de performance énergétique » ;</w:t>
      </w:r>
      <w:r w:rsidRPr="00874A27">
        <w:rPr>
          <w:rFonts w:ascii="Arial" w:eastAsia="Times New Roman" w:hAnsi="Arial" w:cs="Arial"/>
          <w:color w:val="000000"/>
          <w:sz w:val="19"/>
          <w:szCs w:val="19"/>
          <w:lang w:eastAsia="fr-FR"/>
        </w:rPr>
        <w:br/>
        <w:t>4° Au neuvième alinéa, la référence : « L. 321-1 » est remplacée par la référence : « L. 321-14 ».</w:t>
      </w:r>
      <w:r w:rsidRPr="00874A27">
        <w:rPr>
          <w:rFonts w:ascii="Arial" w:eastAsia="Times New Roman" w:hAnsi="Arial" w:cs="Arial"/>
          <w:color w:val="000000"/>
          <w:sz w:val="19"/>
          <w:szCs w:val="19"/>
          <w:lang w:eastAsia="fr-FR"/>
        </w:rPr>
        <w:br/>
        <w:t>VIII. ― Au troisième alinéa de l'article L. 411-3 et à la seconde phrase du dernier alinéa de l'article L. 411-4 du même code, les mots : « sixième et dixième » sont remplacés par les mots : « cinquième et neuvième ».</w:t>
      </w:r>
      <w:r w:rsidRPr="00874A27">
        <w:rPr>
          <w:rFonts w:ascii="Arial" w:eastAsia="Times New Roman" w:hAnsi="Arial" w:cs="Arial"/>
          <w:color w:val="000000"/>
          <w:sz w:val="19"/>
          <w:szCs w:val="19"/>
          <w:lang w:eastAsia="fr-FR"/>
        </w:rPr>
        <w:br/>
        <w:t>IX. ― A l'avant-dernier alinéa de l'article L. 443-13 du même code, le mot : « dixième » est remplacé par le mot : « neuvième ».</w:t>
      </w:r>
      <w:r w:rsidRPr="00874A27">
        <w:rPr>
          <w:rFonts w:ascii="Arial" w:eastAsia="Times New Roman" w:hAnsi="Arial" w:cs="Arial"/>
          <w:color w:val="000000"/>
          <w:sz w:val="19"/>
          <w:szCs w:val="19"/>
          <w:lang w:eastAsia="fr-FR"/>
        </w:rPr>
        <w:br/>
        <w:t>X. ― Au premier alinéa de l'article L. 443-15-2, le mot : « huitième » est remplacé par le mot : « septième ».</w:t>
      </w:r>
      <w:r w:rsidRPr="00874A27">
        <w:rPr>
          <w:rFonts w:ascii="Arial" w:eastAsia="Times New Roman" w:hAnsi="Arial" w:cs="Arial"/>
          <w:color w:val="000000"/>
          <w:sz w:val="19"/>
          <w:szCs w:val="19"/>
          <w:lang w:eastAsia="fr-FR"/>
        </w:rPr>
        <w:br/>
        <w:t>XI. ― Le dernier alinéa de l'article L. 443-12 du même code est ainsi modifié :</w:t>
      </w:r>
      <w:r w:rsidRPr="00874A27">
        <w:rPr>
          <w:rFonts w:ascii="Arial" w:eastAsia="Times New Roman" w:hAnsi="Arial" w:cs="Arial"/>
          <w:color w:val="000000"/>
          <w:sz w:val="19"/>
          <w:szCs w:val="19"/>
          <w:lang w:eastAsia="fr-FR"/>
        </w:rPr>
        <w:br/>
        <w:t>1° A la première phrase, après le mot : « sociaux », sont insérés les mots : « ou un organisme bénéficiant de l'agrément relatif à la maîtrise d'ouvrage prévu à l'article L. 365-2 » ;</w:t>
      </w:r>
      <w:r w:rsidRPr="00874A27">
        <w:rPr>
          <w:rFonts w:ascii="Arial" w:eastAsia="Times New Roman" w:hAnsi="Arial" w:cs="Arial"/>
          <w:color w:val="000000"/>
          <w:sz w:val="19"/>
          <w:szCs w:val="19"/>
          <w:lang w:eastAsia="fr-FR"/>
        </w:rPr>
        <w:br/>
        <w:t>2° A la seconde phrase, après le mot : « mixte, », sont insérés les mots : « ou à un organisme bénéficiant de l'agrément relatif à la maîtrise d'ouvrage prévu à l'article L. 365-2 ».</w:t>
      </w:r>
      <w:r w:rsidRPr="00874A27">
        <w:rPr>
          <w:rFonts w:ascii="Arial" w:eastAsia="Times New Roman" w:hAnsi="Arial" w:cs="Arial"/>
          <w:color w:val="000000"/>
          <w:sz w:val="19"/>
          <w:szCs w:val="19"/>
          <w:lang w:eastAsia="fr-FR"/>
        </w:rPr>
        <w:br/>
        <w:t>XII. ― Après l'article L. 443-15-2-1 du même code, il est inséré un article L. 443-15-2-2 ainsi rédigé :</w:t>
      </w:r>
      <w:r w:rsidRPr="00874A27">
        <w:rPr>
          <w:rFonts w:ascii="Arial" w:eastAsia="Times New Roman" w:hAnsi="Arial" w:cs="Arial"/>
          <w:color w:val="000000"/>
          <w:sz w:val="19"/>
          <w:szCs w:val="19"/>
          <w:lang w:eastAsia="fr-FR"/>
        </w:rPr>
        <w:br/>
        <w:t>« Art. L. 443-15-2-2. - La présente section est applicable au patrimoine immobilier appartenant aux organismes bénéficiant de l'agrément relatif à la maîtrise d'ouvrage prévu à l'article L. 365-2 et ayant bénéficié de financements définis à l'article L. 365-1, à l'exception des cinquième à septième alinéas de l'article L. 443-7 et des articles L. 443-9, L. 443-14 et L. 443-15. Toutefois, la présente section n'est pas applicable au patrimoine immobilier de ces organismes ayant bénéficié d'une subvention de l'Agence nationale de l'habitat en application du 6° de l'article R. 321-12. »</w:t>
      </w:r>
      <w:r w:rsidRPr="00874A27">
        <w:rPr>
          <w:rFonts w:ascii="Arial" w:eastAsia="Times New Roman" w:hAnsi="Arial" w:cs="Arial"/>
          <w:color w:val="000000"/>
          <w:sz w:val="19"/>
          <w:szCs w:val="19"/>
          <w:lang w:eastAsia="fr-FR"/>
        </w:rPr>
        <w:br/>
        <w:t>XIII. ― Le </w:t>
      </w:r>
      <w:hyperlink r:id="rId491" w:history="1">
        <w:r w:rsidRPr="00874A27">
          <w:rPr>
            <w:rFonts w:ascii="Arial" w:eastAsia="Times New Roman" w:hAnsi="Arial" w:cs="Arial"/>
            <w:color w:val="336699"/>
            <w:sz w:val="19"/>
            <w:szCs w:val="19"/>
            <w:u w:val="single"/>
            <w:lang w:eastAsia="fr-FR"/>
          </w:rPr>
          <w:t>dernier alinéa de l'article L. 421-6 du code de la construction et de l'habitation</w:t>
        </w:r>
      </w:hyperlink>
      <w:r w:rsidRPr="00874A27">
        <w:rPr>
          <w:rFonts w:ascii="Arial" w:eastAsia="Times New Roman" w:hAnsi="Arial" w:cs="Arial"/>
          <w:color w:val="000000"/>
          <w:sz w:val="19"/>
          <w:szCs w:val="19"/>
          <w:lang w:eastAsia="fr-FR"/>
        </w:rPr>
        <w:t>, dans sa rédaction résultant du 3° du I du présent article, entre en vigueur à compter du 1er janvier 2017.</w:t>
      </w:r>
      <w:r w:rsidRPr="00874A27">
        <w:rPr>
          <w:rFonts w:ascii="Arial" w:eastAsia="Times New Roman" w:hAnsi="Arial" w:cs="Arial"/>
          <w:color w:val="000000"/>
          <w:sz w:val="19"/>
          <w:szCs w:val="19"/>
          <w:lang w:eastAsia="fr-FR"/>
        </w:rPr>
        <w:br/>
        <w:t>XIV. ― L'</w:t>
      </w:r>
      <w:hyperlink r:id="rId492" w:history="1">
        <w:r w:rsidRPr="00874A27">
          <w:rPr>
            <w:rFonts w:ascii="Arial" w:eastAsia="Times New Roman" w:hAnsi="Arial" w:cs="Arial"/>
            <w:color w:val="336699"/>
            <w:sz w:val="19"/>
            <w:szCs w:val="19"/>
            <w:u w:val="single"/>
            <w:lang w:eastAsia="fr-FR"/>
          </w:rPr>
          <w:t>article 1051 du code général des impôts</w:t>
        </w:r>
      </w:hyperlink>
      <w:r w:rsidRPr="00874A27">
        <w:rPr>
          <w:rFonts w:ascii="Arial" w:eastAsia="Times New Roman" w:hAnsi="Arial" w:cs="Arial"/>
          <w:color w:val="000000"/>
          <w:sz w:val="19"/>
          <w:szCs w:val="19"/>
          <w:lang w:eastAsia="fr-FR"/>
        </w:rPr>
        <w:t> est applicable aux sociétés d'économie mixte exerçant une activité de construction ou de gestion de logements sociaux.</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14" w:name="JORFARTI000028774348"/>
      <w:bookmarkEnd w:id="114"/>
      <w:r w:rsidRPr="00874A27">
        <w:rPr>
          <w:rFonts w:ascii="Arial" w:eastAsia="Times New Roman" w:hAnsi="Arial" w:cs="Arial"/>
          <w:b/>
          <w:bCs/>
          <w:color w:val="000000"/>
          <w:sz w:val="23"/>
          <w:szCs w:val="23"/>
          <w:lang w:eastAsia="fr-FR"/>
        </w:rPr>
        <w:t>Article 115 </w:t>
      </w:r>
      <w:hyperlink r:id="rId493" w:tooltip="En savoir plus sur l'article 11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Après l'article L. 421-12 du code de la construction et de l'habitation, il est inséré un article L. 421-12-1 ainsi rédigé :</w:t>
      </w:r>
      <w:r w:rsidRPr="00874A27">
        <w:rPr>
          <w:rFonts w:ascii="Arial" w:eastAsia="Times New Roman" w:hAnsi="Arial" w:cs="Arial"/>
          <w:color w:val="000000"/>
          <w:sz w:val="19"/>
          <w:szCs w:val="19"/>
          <w:lang w:eastAsia="fr-FR"/>
        </w:rPr>
        <w:br/>
        <w:t>« Art. L. 421-12-1. - Un directeur général d'office peut occuper une autre fonction de direction, dès lors qu'elle n'est qu'accessoire et ne donne lieu à aucune rémunération supplémentaire. Un tel cumul ne peut concerner qu'un organisme d'habitations à loyer modéré au sens de l'article L. 411-2, une société d'économie mixte exerçant une activité de construction et de gestion de logements sociaux ainsi que, le cas échéant, d'aménagement ou un organisme mentionné à l'article L. 365-1.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15" w:name="JORFARTI000028774351"/>
      <w:bookmarkEnd w:id="115"/>
      <w:r w:rsidRPr="00874A27">
        <w:rPr>
          <w:rFonts w:ascii="Arial" w:eastAsia="Times New Roman" w:hAnsi="Arial" w:cs="Arial"/>
          <w:b/>
          <w:bCs/>
          <w:color w:val="000000"/>
          <w:sz w:val="23"/>
          <w:szCs w:val="23"/>
          <w:lang w:eastAsia="fr-FR"/>
        </w:rPr>
        <w:t>Article 116 </w:t>
      </w:r>
      <w:hyperlink r:id="rId494" w:tooltip="En savoir plus sur l'article 11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neuvième alinéa de l'article L. 411-2 et le 4° de l'article L. 421-2 du même code sont complétés par une phrase ainsi rédigée :</w:t>
      </w:r>
      <w:r w:rsidRPr="00874A27">
        <w:rPr>
          <w:rFonts w:ascii="Arial" w:eastAsia="Times New Roman" w:hAnsi="Arial" w:cs="Arial"/>
          <w:color w:val="000000"/>
          <w:sz w:val="19"/>
          <w:szCs w:val="19"/>
          <w:lang w:eastAsia="fr-FR"/>
        </w:rPr>
        <w:br/>
        <w:t>« A défaut d'opposition de la part du représentant de l'Etat notifiée dans le délai de deux mois à compter de la date de la réception de la demande, son avis est réputé favorable ; ».</w:t>
      </w:r>
      <w:r w:rsidRPr="00874A27">
        <w:rPr>
          <w:rFonts w:ascii="Arial" w:eastAsia="Times New Roman" w:hAnsi="Arial" w:cs="Arial"/>
          <w:color w:val="000000"/>
          <w:sz w:val="19"/>
          <w:szCs w:val="19"/>
          <w:lang w:eastAsia="fr-FR"/>
        </w:rPr>
        <w:br/>
        <w:t>II. ― Après la première phrase du 5° de l'article L. 421-3, du dix-huitième alinéa de l'article L. 422-2 et du quinzième alinéa de l'article L. 422-3 du même code, est insérée une phrase ainsi rédigée :</w:t>
      </w:r>
      <w:r w:rsidRPr="00874A27">
        <w:rPr>
          <w:rFonts w:ascii="Arial" w:eastAsia="Times New Roman" w:hAnsi="Arial" w:cs="Arial"/>
          <w:color w:val="000000"/>
          <w:sz w:val="19"/>
          <w:szCs w:val="19"/>
          <w:lang w:eastAsia="fr-FR"/>
        </w:rPr>
        <w:br/>
        <w:t>« A défaut d'opposition de la part du représentant de l'Etat notifiée dans le délai de deux mois à compter de la date de la réception de la demande, son avis est réputé favorable. »</w:t>
      </w:r>
      <w:r w:rsidRPr="00874A27">
        <w:rPr>
          <w:rFonts w:ascii="Arial" w:eastAsia="Times New Roman" w:hAnsi="Arial" w:cs="Arial"/>
          <w:color w:val="000000"/>
          <w:sz w:val="19"/>
          <w:szCs w:val="19"/>
          <w:lang w:eastAsia="fr-FR"/>
        </w:rPr>
        <w:br/>
        <w:t>III. ― Le quinzième alinéa de l'article L. 422-2 et le 11° de l'article L. 422-3 du même code sont complétés par une phrase ainsi rédigée :</w:t>
      </w:r>
      <w:r w:rsidRPr="00874A27">
        <w:rPr>
          <w:rFonts w:ascii="Arial" w:eastAsia="Times New Roman" w:hAnsi="Arial" w:cs="Arial"/>
          <w:color w:val="000000"/>
          <w:sz w:val="19"/>
          <w:szCs w:val="19"/>
          <w:lang w:eastAsia="fr-FR"/>
        </w:rPr>
        <w:br/>
        <w:t>« A défaut d'opposition de sa part notifiée dans le délai de deux mois à compter de la date de la réception de la demande, son avis est réputé favorable.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16" w:name="JORFARTI000028774358"/>
      <w:bookmarkEnd w:id="116"/>
      <w:r w:rsidRPr="00874A27">
        <w:rPr>
          <w:rFonts w:ascii="Arial" w:eastAsia="Times New Roman" w:hAnsi="Arial" w:cs="Arial"/>
          <w:b/>
          <w:bCs/>
          <w:color w:val="000000"/>
          <w:sz w:val="23"/>
          <w:szCs w:val="23"/>
          <w:lang w:eastAsia="fr-FR"/>
        </w:rPr>
        <w:t>Article 117 </w:t>
      </w:r>
      <w:hyperlink r:id="rId495" w:tooltip="En savoir plus sur l'article 11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A la fin du IV de l'article L. 31-10-3 du même code, les mots : « égal au minimum autorisé en application de l'article L. 443-12 » sont remplacés par les mots : « inférieur d'au moins 10 % à l'évaluation faite par France Domaine ».</w:t>
      </w:r>
      <w:r w:rsidRPr="00874A27">
        <w:rPr>
          <w:rFonts w:ascii="Arial" w:eastAsia="Times New Roman" w:hAnsi="Arial" w:cs="Arial"/>
          <w:color w:val="000000"/>
          <w:sz w:val="19"/>
          <w:szCs w:val="19"/>
          <w:lang w:eastAsia="fr-FR"/>
        </w:rPr>
        <w:br/>
        <w:t>II. ― Le I s'applique aux offres de prêts émises à compter du premier jour du mois suivant la promulgation de la présente loi.</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17" w:name="JORFARTI000028774362"/>
      <w:bookmarkEnd w:id="117"/>
      <w:r w:rsidRPr="00874A27">
        <w:rPr>
          <w:rFonts w:ascii="Arial" w:eastAsia="Times New Roman" w:hAnsi="Arial" w:cs="Arial"/>
          <w:b/>
          <w:bCs/>
          <w:color w:val="000000"/>
          <w:sz w:val="23"/>
          <w:szCs w:val="23"/>
          <w:lang w:eastAsia="fr-FR"/>
        </w:rPr>
        <w:t>Article 118 </w:t>
      </w:r>
      <w:hyperlink r:id="rId496" w:tooltip="En savoir plus sur l'article 11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première phrase du premier alinéa de l'article L. 442-6-4 du code de la construction et de l'habitation est ainsi modifiée :</w:t>
      </w:r>
      <w:r w:rsidRPr="00874A27">
        <w:rPr>
          <w:rFonts w:ascii="Arial" w:eastAsia="Times New Roman" w:hAnsi="Arial" w:cs="Arial"/>
          <w:color w:val="000000"/>
          <w:sz w:val="19"/>
          <w:szCs w:val="19"/>
          <w:lang w:eastAsia="fr-FR"/>
        </w:rPr>
        <w:br/>
        <w:t>1° Les mots : « à compter du 5 janvier 1977 » sont supprimés ;</w:t>
      </w:r>
      <w:r w:rsidRPr="00874A27">
        <w:rPr>
          <w:rFonts w:ascii="Arial" w:eastAsia="Times New Roman" w:hAnsi="Arial" w:cs="Arial"/>
          <w:color w:val="000000"/>
          <w:sz w:val="19"/>
          <w:szCs w:val="19"/>
          <w:lang w:eastAsia="fr-FR"/>
        </w:rPr>
        <w:br/>
        <w:t>2° Après la seconde occurrence du mot : « ou », il est inséré le mot : « construits ».</w:t>
      </w:r>
    </w:p>
    <w:p w:rsidR="00874A27" w:rsidRPr="00874A27" w:rsidRDefault="00874A27" w:rsidP="00874A27">
      <w:pPr>
        <w:numPr>
          <w:ilvl w:val="2"/>
          <w:numId w:val="3"/>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2 : Réformer les missions et procédures de la Caisse de garantie du logement locatif social</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18" w:name="JORFARTI000028774366"/>
      <w:bookmarkEnd w:id="118"/>
      <w:r w:rsidRPr="00874A27">
        <w:rPr>
          <w:rFonts w:ascii="Arial" w:eastAsia="Times New Roman" w:hAnsi="Arial" w:cs="Arial"/>
          <w:b/>
          <w:bCs/>
          <w:color w:val="000000"/>
          <w:sz w:val="23"/>
          <w:szCs w:val="23"/>
          <w:lang w:eastAsia="fr-FR"/>
        </w:rPr>
        <w:t>Article 119 </w:t>
      </w:r>
      <w:hyperlink r:id="rId497" w:tooltip="En savoir plus sur l'article 11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même code est ainsi modifié :</w:t>
      </w:r>
      <w:r w:rsidRPr="00874A27">
        <w:rPr>
          <w:rFonts w:ascii="Arial" w:eastAsia="Times New Roman" w:hAnsi="Arial" w:cs="Arial"/>
          <w:color w:val="000000"/>
          <w:sz w:val="19"/>
          <w:szCs w:val="19"/>
          <w:lang w:eastAsia="fr-FR"/>
        </w:rPr>
        <w:br/>
        <w:t>1° Le second alinéa de l'article L. 423-3est complété par les mots : « et à la Caisse de garantie du logement locatif social » ;</w:t>
      </w:r>
      <w:r w:rsidRPr="00874A27">
        <w:rPr>
          <w:rFonts w:ascii="Arial" w:eastAsia="Times New Roman" w:hAnsi="Arial" w:cs="Arial"/>
          <w:color w:val="000000"/>
          <w:sz w:val="19"/>
          <w:szCs w:val="19"/>
          <w:lang w:eastAsia="fr-FR"/>
        </w:rPr>
        <w:br/>
        <w:t>2° L'article L. 452-1 est ainsi modifié :</w:t>
      </w:r>
      <w:r w:rsidRPr="00874A27">
        <w:rPr>
          <w:rFonts w:ascii="Arial" w:eastAsia="Times New Roman" w:hAnsi="Arial" w:cs="Arial"/>
          <w:color w:val="000000"/>
          <w:sz w:val="19"/>
          <w:szCs w:val="19"/>
          <w:lang w:eastAsia="fr-FR"/>
        </w:rPr>
        <w:br/>
        <w:t>a) La dernière phrase du sixième alinéa est complétée par les mots : « et participer au financement du groupement d'intérêt public mentionné à l'article L. 441-2-1 » ;</w:t>
      </w:r>
      <w:r w:rsidRPr="00874A27">
        <w:rPr>
          <w:rFonts w:ascii="Arial" w:eastAsia="Times New Roman" w:hAnsi="Arial" w:cs="Arial"/>
          <w:color w:val="000000"/>
          <w:sz w:val="19"/>
          <w:szCs w:val="19"/>
          <w:lang w:eastAsia="fr-FR"/>
        </w:rPr>
        <w:br/>
        <w:t>b) Le dernier alinéa est ainsi rédigé :</w:t>
      </w:r>
      <w:r w:rsidRPr="00874A27">
        <w:rPr>
          <w:rFonts w:ascii="Arial" w:eastAsia="Times New Roman" w:hAnsi="Arial" w:cs="Arial"/>
          <w:color w:val="000000"/>
          <w:sz w:val="19"/>
          <w:szCs w:val="19"/>
          <w:lang w:eastAsia="fr-FR"/>
        </w:rPr>
        <w:br/>
        <w:t xml:space="preserve">« Il est institué, au sein de la caisse, un fonds de soutien à l'innovation de projets des organismes d'habitations à loyer modéré, des sociétés d'économie mixte et des organismes bénéficiant de l'agrément relatif à la maîtrise d'ouvrage prévu à l'article L. 365-2, pour des actions de recherche, de développement, ainsi que de professionnalisation et de structuration des organismes. Ce fonds est </w:t>
      </w:r>
      <w:r w:rsidRPr="00874A27">
        <w:rPr>
          <w:rFonts w:ascii="Arial" w:eastAsia="Times New Roman" w:hAnsi="Arial" w:cs="Arial"/>
          <w:color w:val="000000"/>
          <w:sz w:val="19"/>
          <w:szCs w:val="19"/>
          <w:lang w:eastAsia="fr-FR"/>
        </w:rPr>
        <w:lastRenderedPageBreak/>
        <w:t>alimenté à partir des cotisations versées à la caisse par ces organismes et géré par la caisse. » ;</w:t>
      </w:r>
      <w:r w:rsidRPr="00874A27">
        <w:rPr>
          <w:rFonts w:ascii="Arial" w:eastAsia="Times New Roman" w:hAnsi="Arial" w:cs="Arial"/>
          <w:color w:val="000000"/>
          <w:sz w:val="19"/>
          <w:szCs w:val="19"/>
          <w:lang w:eastAsia="fr-FR"/>
        </w:rPr>
        <w:br/>
        <w:t>3° L'article L. 452-1-1 est complété par un alinéa ainsi rédigé :</w:t>
      </w:r>
      <w:r w:rsidRPr="00874A27">
        <w:rPr>
          <w:rFonts w:ascii="Arial" w:eastAsia="Times New Roman" w:hAnsi="Arial" w:cs="Arial"/>
          <w:color w:val="000000"/>
          <w:sz w:val="19"/>
          <w:szCs w:val="19"/>
          <w:lang w:eastAsia="fr-FR"/>
        </w:rPr>
        <w:br/>
        <w:t>« Elle gère également les fonds institués par les articles L. 300-2 et L. 302-9-3. » ;</w:t>
      </w:r>
      <w:r w:rsidRPr="00874A27">
        <w:rPr>
          <w:rFonts w:ascii="Arial" w:eastAsia="Times New Roman" w:hAnsi="Arial" w:cs="Arial"/>
          <w:color w:val="000000"/>
          <w:sz w:val="19"/>
          <w:szCs w:val="19"/>
          <w:lang w:eastAsia="fr-FR"/>
        </w:rPr>
        <w:br/>
        <w:t>4° Le premier alinéa de l'article L. 452-2 est remplacé par deux alinéas ainsi rédigés :</w:t>
      </w:r>
      <w:r w:rsidRPr="00874A27">
        <w:rPr>
          <w:rFonts w:ascii="Arial" w:eastAsia="Times New Roman" w:hAnsi="Arial" w:cs="Arial"/>
          <w:color w:val="000000"/>
          <w:sz w:val="19"/>
          <w:szCs w:val="19"/>
          <w:lang w:eastAsia="fr-FR"/>
        </w:rPr>
        <w:br/>
        <w:t>« La caisse est administrée par un conseil d'administration composé de six représentants de l'Etat, de trois représentants de l'Union sociale pour l'habitat regroupant les fédérations d'organismes d'habitations à loyer modéré, d'un représentant de la fédération des entreprises publiques locales et d'un représentant des fédérations des organismes agréés en application de l'article L. 365-2, ainsi que d'une personnalité qualifiée, désignée par le ministre chargé du logement, après avis des représentants des organismes d'habitations à loyer modéré, à raison de ses compétences dans le domaine du logement.</w:t>
      </w:r>
      <w:r w:rsidRPr="00874A27">
        <w:rPr>
          <w:rFonts w:ascii="Arial" w:eastAsia="Times New Roman" w:hAnsi="Arial" w:cs="Arial"/>
          <w:color w:val="000000"/>
          <w:sz w:val="19"/>
          <w:szCs w:val="19"/>
          <w:lang w:eastAsia="fr-FR"/>
        </w:rPr>
        <w:br/>
        <w:t>« Une fois par an, les représentants des collectivités territoriales compétentes en matière d'habitat sont associés, avec voix consultative, aux délibérations qui fixent les orientations et priorités de la caisse pour l'exercice suivant. » ;</w:t>
      </w:r>
      <w:r w:rsidRPr="00874A27">
        <w:rPr>
          <w:rFonts w:ascii="Arial" w:eastAsia="Times New Roman" w:hAnsi="Arial" w:cs="Arial"/>
          <w:color w:val="000000"/>
          <w:sz w:val="19"/>
          <w:szCs w:val="19"/>
          <w:lang w:eastAsia="fr-FR"/>
        </w:rPr>
        <w:br/>
        <w:t>5° L'article L. 452-2-1 est ainsi rédigé :</w:t>
      </w:r>
      <w:r w:rsidRPr="00874A27">
        <w:rPr>
          <w:rFonts w:ascii="Arial" w:eastAsia="Times New Roman" w:hAnsi="Arial" w:cs="Arial"/>
          <w:color w:val="000000"/>
          <w:sz w:val="19"/>
          <w:szCs w:val="19"/>
          <w:lang w:eastAsia="fr-FR"/>
        </w:rPr>
        <w:br/>
        <w:t>« Art. L. 452-2-1.-Une commission de réorganisation des organismes de logement locatif social est placée auprès du conseil d'administration de la caisse mentionnée à l'article L. 452-2 et composée majoritairement de représentants de l'Union sociale pour l'habitat regroupant les fédérations d'organismes d'habitations à loyer modéré, de la fédération des entreprises publiques locales et des fédérations des organismes agréés en application de l'article L. 365-2. Cette commission statue sur les concours financiers précisés au quatrième alinéa de l'article L. 452-1. » ;</w:t>
      </w:r>
      <w:r w:rsidRPr="00874A27">
        <w:rPr>
          <w:rFonts w:ascii="Arial" w:eastAsia="Times New Roman" w:hAnsi="Arial" w:cs="Arial"/>
          <w:color w:val="000000"/>
          <w:sz w:val="19"/>
          <w:szCs w:val="19"/>
          <w:lang w:eastAsia="fr-FR"/>
        </w:rPr>
        <w:br/>
        <w:t>6° Après l'article L. 452-2-1, il est inséré un article L. 452-2-2 ainsi rédigé :</w:t>
      </w:r>
      <w:r w:rsidRPr="00874A27">
        <w:rPr>
          <w:rFonts w:ascii="Arial" w:eastAsia="Times New Roman" w:hAnsi="Arial" w:cs="Arial"/>
          <w:color w:val="000000"/>
          <w:sz w:val="19"/>
          <w:szCs w:val="19"/>
          <w:lang w:eastAsia="fr-FR"/>
        </w:rPr>
        <w:br/>
        <w:t>« Art. L. 452-2-2.-Aucun membre du conseil d'administration ne peut prendre part au vote dans une affaire où il a un intérêt personnel et direct.</w:t>
      </w:r>
      <w:r w:rsidRPr="00874A27">
        <w:rPr>
          <w:rFonts w:ascii="Arial" w:eastAsia="Times New Roman" w:hAnsi="Arial" w:cs="Arial"/>
          <w:color w:val="000000"/>
          <w:sz w:val="19"/>
          <w:szCs w:val="19"/>
          <w:lang w:eastAsia="fr-FR"/>
        </w:rPr>
        <w:br/>
        <w:t>« Aucun membre des instances placées auprès du conseil d'administration ou de la commission de réorganisation ne peut prendre part au vote dans une affaire où il a un intérêt personnel et direct. » ;</w:t>
      </w:r>
      <w:r w:rsidRPr="00874A27">
        <w:rPr>
          <w:rFonts w:ascii="Arial" w:eastAsia="Times New Roman" w:hAnsi="Arial" w:cs="Arial"/>
          <w:color w:val="000000"/>
          <w:sz w:val="19"/>
          <w:szCs w:val="19"/>
          <w:lang w:eastAsia="fr-FR"/>
        </w:rPr>
        <w:br/>
        <w:t>7° L'article L. 452-4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à la première phrase, les mots : « au premier trimestre de » sont supprimés ;</w:t>
      </w:r>
      <w:r w:rsidRPr="00874A27">
        <w:rPr>
          <w:rFonts w:ascii="Arial" w:eastAsia="Times New Roman" w:hAnsi="Arial" w:cs="Arial"/>
          <w:color w:val="000000"/>
          <w:sz w:val="19"/>
          <w:szCs w:val="19"/>
          <w:lang w:eastAsia="fr-FR"/>
        </w:rPr>
        <w:br/>
        <w:t>― la seconde phrase est complétée par les mots : « de l'année précédant l'année de contribution » ;</w:t>
      </w:r>
      <w:r w:rsidRPr="00874A27">
        <w:rPr>
          <w:rFonts w:ascii="Arial" w:eastAsia="Times New Roman" w:hAnsi="Arial" w:cs="Arial"/>
          <w:color w:val="000000"/>
          <w:sz w:val="19"/>
          <w:szCs w:val="19"/>
          <w:lang w:eastAsia="fr-FR"/>
        </w:rPr>
        <w:br/>
        <w:t>b) Les deuxième et troisième alinéas sont ainsi rédigés :</w:t>
      </w:r>
      <w:r w:rsidRPr="00874A27">
        <w:rPr>
          <w:rFonts w:ascii="Arial" w:eastAsia="Times New Roman" w:hAnsi="Arial" w:cs="Arial"/>
          <w:color w:val="000000"/>
          <w:sz w:val="19"/>
          <w:szCs w:val="19"/>
          <w:lang w:eastAsia="fr-FR"/>
        </w:rPr>
        <w:br/>
        <w:t>« La cotisation des organismes d'habitations à loyer modéré a pour assiette les loyers et redevances appelés, ainsi que les indemnités d'occupation versées au cours de la période de référence, définie comme la dernière année ou le dernier exercice clos précédant l'année de contribution, à raison des logements à usage locatif et des logements-foyers sur lesquels ils sont titulaires d'un droit réel. Pour les logements-foyers, la cotisation a pour assiette l'élément de la redevance équivalant au loyer.</w:t>
      </w:r>
      <w:r w:rsidRPr="00874A27">
        <w:rPr>
          <w:rFonts w:ascii="Arial" w:eastAsia="Times New Roman" w:hAnsi="Arial" w:cs="Arial"/>
          <w:color w:val="000000"/>
          <w:sz w:val="19"/>
          <w:szCs w:val="19"/>
          <w:lang w:eastAsia="fr-FR"/>
        </w:rPr>
        <w:br/>
        <w:t>« La cotisation des sociétés d'économie mixte et des organismes bénéficiant de l'agrément relatif à la maîtrise d'ouvrage prévu à l'article L. 365-2 a pour assiette les loyers et redevances appelés, ainsi que les indemnités d'occupation versées au cours de la période de référence pour les logements à usage locatif et les logements-foyers sur lesquels ils sont titulaires d'un droit réel et conventionnés dans les conditions définies à l'article L. 351-2 ou, dans les départements d'outre-mer, construits, acquis ou améliorés avec le concours financier de l'Etat. Pour les logements-foyers, la cotisation a pour assiette l'élément de la redevance équivalente au loyer. Pour les organismes bénéficiant de l'agrément prévu à l'article L. 365-2, seuls les produits locatifs des activités relevant de l'agrément sont soumis à la cotisation. » ;</w:t>
      </w:r>
      <w:r w:rsidRPr="00874A27">
        <w:rPr>
          <w:rFonts w:ascii="Arial" w:eastAsia="Times New Roman" w:hAnsi="Arial" w:cs="Arial"/>
          <w:color w:val="000000"/>
          <w:sz w:val="19"/>
          <w:szCs w:val="19"/>
          <w:lang w:eastAsia="fr-FR"/>
        </w:rPr>
        <w:br/>
        <w:t>c) A la fin de la seconde phrase du quatrième alinéa, les mots : « du dernier exercice clos » sont remplacés par les mots : « de l'année précédant celle de la contribution » ;</w:t>
      </w:r>
      <w:r w:rsidRPr="00874A27">
        <w:rPr>
          <w:rFonts w:ascii="Arial" w:eastAsia="Times New Roman" w:hAnsi="Arial" w:cs="Arial"/>
          <w:color w:val="000000"/>
          <w:sz w:val="19"/>
          <w:szCs w:val="19"/>
          <w:lang w:eastAsia="fr-FR"/>
        </w:rPr>
        <w:br/>
        <w:t>d) Le dernier alinéa est ainsi rédigé :</w:t>
      </w:r>
      <w:r w:rsidRPr="00874A27">
        <w:rPr>
          <w:rFonts w:ascii="Arial" w:eastAsia="Times New Roman" w:hAnsi="Arial" w:cs="Arial"/>
          <w:color w:val="000000"/>
          <w:sz w:val="19"/>
          <w:szCs w:val="19"/>
          <w:lang w:eastAsia="fr-FR"/>
        </w:rPr>
        <w:br/>
        <w:t>« Le taux de la cotisation, qui ne peut excéder 1,5 %, et le montant des réductions précisées aux alinéas précédents sont fixés par arrêté des ministres chargés du logement, de l'économie et des finances. » ;</w:t>
      </w:r>
      <w:r w:rsidRPr="00874A27">
        <w:rPr>
          <w:rFonts w:ascii="Arial" w:eastAsia="Times New Roman" w:hAnsi="Arial" w:cs="Arial"/>
          <w:color w:val="000000"/>
          <w:sz w:val="19"/>
          <w:szCs w:val="19"/>
          <w:lang w:eastAsia="fr-FR"/>
        </w:rPr>
        <w:br/>
        <w:t>8° L'article L. 452-4-1 est ainsi modifié :</w:t>
      </w:r>
      <w:r w:rsidRPr="00874A27">
        <w:rPr>
          <w:rFonts w:ascii="Arial" w:eastAsia="Times New Roman" w:hAnsi="Arial" w:cs="Arial"/>
          <w:color w:val="000000"/>
          <w:sz w:val="19"/>
          <w:szCs w:val="19"/>
          <w:lang w:eastAsia="fr-FR"/>
        </w:rPr>
        <w:br/>
        <w:t>a) Les trois premiers alinéas sont ainsi rédigés :</w:t>
      </w:r>
      <w:r w:rsidRPr="00874A27">
        <w:rPr>
          <w:rFonts w:ascii="Arial" w:eastAsia="Times New Roman" w:hAnsi="Arial" w:cs="Arial"/>
          <w:color w:val="000000"/>
          <w:sz w:val="19"/>
          <w:szCs w:val="19"/>
          <w:lang w:eastAsia="fr-FR"/>
        </w:rPr>
        <w:br/>
        <w:t>« Les organismes d'habitations à loyer modéré, les organismes bénéficiant de l'agrément relatif à la maîtrise d'ouvrage prévu à l'article L. 365-2 et les sociétés d'économie mixte, au titre des logements locatifs et des logements-foyers mentionnés au troisième alinéa de l'article L. 452-4, versent, chaque année, une cotisation additionnelle à la Caisse de garantie du logement locatif social. La cotisation additionnelle est due pour l'année entière par le redevable qui exerce l'activité assujettie le 1er janvier de l'avant-dernière année précédant l'année de contribution. La cotisation additionnelle comprend :</w:t>
      </w:r>
      <w:r w:rsidRPr="00874A27">
        <w:rPr>
          <w:rFonts w:ascii="Arial" w:eastAsia="Times New Roman" w:hAnsi="Arial" w:cs="Arial"/>
          <w:color w:val="000000"/>
          <w:sz w:val="19"/>
          <w:szCs w:val="19"/>
          <w:lang w:eastAsia="fr-FR"/>
        </w:rPr>
        <w:br/>
        <w:t xml:space="preserve">« a) Une part égale au produit d'une somme forfaitaire par le nombre de logements à usage locatif et d'unités de logements-foyers ouvrant droit à redevance sur lesquels l'organisme est titulaire d'un droit réel au 31 décembre de l'avant-dernière année précédant l'année de contribution. La somme forfaitaire est fixée chaque année, sans pouvoir excéder 10 €, par arrêté des ministres chargés du </w:t>
      </w:r>
      <w:r w:rsidRPr="00874A27">
        <w:rPr>
          <w:rFonts w:ascii="Arial" w:eastAsia="Times New Roman" w:hAnsi="Arial" w:cs="Arial"/>
          <w:color w:val="000000"/>
          <w:sz w:val="19"/>
          <w:szCs w:val="19"/>
          <w:lang w:eastAsia="fr-FR"/>
        </w:rPr>
        <w:lastRenderedPageBreak/>
        <w:t>logement, de la ville, de l'économie et des finances après avis de l'Union des habitations à loyer modéré regroupant les fédérations d'organismes d'habitations à loyer modéré, de la fédération des entreprises publiques locales et des représentants des organismes bénéficiant de l'agrément prévu à l'article L. 365-2 ;</w:t>
      </w:r>
      <w:r w:rsidRPr="00874A27">
        <w:rPr>
          <w:rFonts w:ascii="Arial" w:eastAsia="Times New Roman" w:hAnsi="Arial" w:cs="Arial"/>
          <w:color w:val="000000"/>
          <w:sz w:val="19"/>
          <w:szCs w:val="19"/>
          <w:lang w:eastAsia="fr-FR"/>
        </w:rPr>
        <w:br/>
        <w:t>« b) Une part variable, qui a pour assiette l'autofinancement net de l'organisme déterminé à partir des comptes établis au titre de la période de référence, définie comme l'avant-dernière année ou l'avant-dernier exercice clos précédant l'année de contribution. L'autofinancement net est calculé en déduisant les remboursements d'emprunts liés à l'activité locative, à l'exception des remboursements anticipés, de la différence entre les produits et les charges locatifs de l'exercice. Pour le calcul de cette différence, ne sont pas pris en compte les dotations pour amortissements et provisions et leurs reprises, les donations, dons et legs, ainsi que certains produits ou charges exceptionnels ou de transfert définis par décret en Conseil d'Etat. Le montant de l'autofinancement net fait l'objet d'une réfaction en fonction du montant des produits locatifs assujettis, dont le pourcentage, qui ne peut être inférieur à 5 %, est fixé par un arrêté des ministres chargés du logement, de la ville, de l'économie et des finances, pris après avis de l'Union sociale pour l'habitat regroupant les fédérations d'organismes d'habitations à loyer modéré, de la fédération des entreprises publiques locales et des représentants des organismes bénéficiant de l'agrément prévu à l'article L. 365-2. Le montant de la part variable est calculé en appliquant à la base ainsi déterminée un taux fixé, dans les limites de 15 %, par un arrêté pris dans les mêmes formes. » ;</w:t>
      </w:r>
      <w:r w:rsidRPr="00874A27">
        <w:rPr>
          <w:rFonts w:ascii="Arial" w:eastAsia="Times New Roman" w:hAnsi="Arial" w:cs="Arial"/>
          <w:color w:val="000000"/>
          <w:sz w:val="19"/>
          <w:szCs w:val="19"/>
          <w:lang w:eastAsia="fr-FR"/>
        </w:rPr>
        <w:br/>
        <w:t>b) Au quatrième alinéa, les mots : « ce montant » sont remplacés par les mots : « la cotisation additionnelle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19" w:name="JORFARTI000028774386"/>
      <w:bookmarkEnd w:id="119"/>
      <w:r w:rsidRPr="00874A27">
        <w:rPr>
          <w:rFonts w:ascii="Arial" w:eastAsia="Times New Roman" w:hAnsi="Arial" w:cs="Arial"/>
          <w:b/>
          <w:bCs/>
          <w:color w:val="000000"/>
          <w:sz w:val="23"/>
          <w:szCs w:val="23"/>
          <w:lang w:eastAsia="fr-FR"/>
        </w:rPr>
        <w:t>Article 120 </w:t>
      </w:r>
      <w:hyperlink r:id="rId498" w:tooltip="En savoir plus sur l'article 12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Caisse de garantie du logement locatif social transmet, sur leur demande, aux fédérations d'organismes d'habitations à loyer modéré et à l'Union sociale pour l'habitat qui regroupe ces fédérations les données les plus récentes qui lui sont déclarées au titre :</w:t>
      </w:r>
      <w:r w:rsidRPr="00874A27">
        <w:rPr>
          <w:rFonts w:ascii="Arial" w:eastAsia="Times New Roman" w:hAnsi="Arial" w:cs="Arial"/>
          <w:color w:val="000000"/>
          <w:sz w:val="19"/>
          <w:szCs w:val="19"/>
          <w:lang w:eastAsia="fr-FR"/>
        </w:rPr>
        <w:br/>
        <w:t>1° Des loyers et redevances appelés, des indemnités d'occupation versées, ainsi que le montant dû à la Caisse de garantie du logement locatif social en application de l'</w:t>
      </w:r>
      <w:hyperlink r:id="rId499" w:history="1">
        <w:r w:rsidRPr="00874A27">
          <w:rPr>
            <w:rFonts w:ascii="Arial" w:eastAsia="Times New Roman" w:hAnsi="Arial" w:cs="Arial"/>
            <w:color w:val="336699"/>
            <w:sz w:val="19"/>
            <w:szCs w:val="19"/>
            <w:u w:val="single"/>
            <w:lang w:eastAsia="fr-FR"/>
          </w:rPr>
          <w:t>article L. 452-4 du code de la construction et de l'habitation</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2° Du nombre de logements et d'unités de logements-foyers en application du a de l'article L. 452-4-1 du même code.</w:t>
      </w:r>
      <w:r w:rsidRPr="00874A27">
        <w:rPr>
          <w:rFonts w:ascii="Arial" w:eastAsia="Times New Roman" w:hAnsi="Arial" w:cs="Arial"/>
          <w:color w:val="000000"/>
          <w:sz w:val="19"/>
          <w:szCs w:val="19"/>
          <w:lang w:eastAsia="fr-FR"/>
        </w:rPr>
        <w:br/>
        <w:t>Ce transfert de données est subordonné à l'absence d'opposition préalable de l'organisme d'habitations à loyer modéré concerné.</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20" w:name="JORFARTI000028774388"/>
      <w:bookmarkEnd w:id="120"/>
      <w:r w:rsidRPr="00874A27">
        <w:rPr>
          <w:rFonts w:ascii="Arial" w:eastAsia="Times New Roman" w:hAnsi="Arial" w:cs="Arial"/>
          <w:b/>
          <w:bCs/>
          <w:color w:val="000000"/>
          <w:sz w:val="23"/>
          <w:szCs w:val="23"/>
          <w:lang w:eastAsia="fr-FR"/>
        </w:rPr>
        <w:t>Article 121 </w:t>
      </w:r>
      <w:hyperlink r:id="rId500" w:tooltip="En savoir plus sur l'article 12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Aux premier et </w:t>
      </w:r>
      <w:hyperlink r:id="rId501" w:history="1">
        <w:r w:rsidRPr="00874A27">
          <w:rPr>
            <w:rFonts w:ascii="Arial" w:eastAsia="Times New Roman" w:hAnsi="Arial" w:cs="Arial"/>
            <w:color w:val="336699"/>
            <w:sz w:val="19"/>
            <w:szCs w:val="19"/>
            <w:u w:val="single"/>
            <w:lang w:eastAsia="fr-FR"/>
          </w:rPr>
          <w:t>dernier alinéas de l'article L. 411-8 du code de la construction et de l'habitation</w:t>
        </w:r>
      </w:hyperlink>
      <w:r w:rsidRPr="00874A27">
        <w:rPr>
          <w:rFonts w:ascii="Arial" w:eastAsia="Times New Roman" w:hAnsi="Arial" w:cs="Arial"/>
          <w:color w:val="000000"/>
          <w:sz w:val="19"/>
          <w:szCs w:val="19"/>
          <w:lang w:eastAsia="fr-FR"/>
        </w:rPr>
        <w:t>, les mots : « union des habitations à loyer modéré » sont remplacés par les mots : « Union sociale pour l'habitat ».</w:t>
      </w:r>
      <w:r w:rsidRPr="00874A27">
        <w:rPr>
          <w:rFonts w:ascii="Arial" w:eastAsia="Times New Roman" w:hAnsi="Arial" w:cs="Arial"/>
          <w:color w:val="000000"/>
          <w:sz w:val="19"/>
          <w:szCs w:val="19"/>
          <w:lang w:eastAsia="fr-FR"/>
        </w:rPr>
        <w:br/>
        <w:t>II. ― Après le même article L. 411-8, il est inséré un article L. 411-8-1 ainsi rédigé :</w:t>
      </w:r>
      <w:r w:rsidRPr="00874A27">
        <w:rPr>
          <w:rFonts w:ascii="Arial" w:eastAsia="Times New Roman" w:hAnsi="Arial" w:cs="Arial"/>
          <w:color w:val="000000"/>
          <w:sz w:val="19"/>
          <w:szCs w:val="19"/>
          <w:lang w:eastAsia="fr-FR"/>
        </w:rPr>
        <w:br/>
        <w:t>« Art. L. 411-8-1.-Lorsque les besoins en matière de production de logements sociaux ou de réhabilitation du parc immobilier social révèlent des inégalités importantes entre les territoires, les conventions conclues en application de l'article L. 411-8 peuvent porter sur une mutualisation financière entre les organismes d'habitations à loyer modéré destinée à la réalisation des programmes de construction et de réhabilitation prioritaires.</w:t>
      </w:r>
      <w:r w:rsidRPr="00874A27">
        <w:rPr>
          <w:rFonts w:ascii="Arial" w:eastAsia="Times New Roman" w:hAnsi="Arial" w:cs="Arial"/>
          <w:color w:val="000000"/>
          <w:sz w:val="19"/>
          <w:szCs w:val="19"/>
          <w:lang w:eastAsia="fr-FR"/>
        </w:rPr>
        <w:br/>
        <w:t>« Dans ce cas, la convention définit notamment :</w:t>
      </w:r>
      <w:r w:rsidRPr="00874A27">
        <w:rPr>
          <w:rFonts w:ascii="Arial" w:eastAsia="Times New Roman" w:hAnsi="Arial" w:cs="Arial"/>
          <w:color w:val="000000"/>
          <w:sz w:val="19"/>
          <w:szCs w:val="19"/>
          <w:lang w:eastAsia="fr-FR"/>
        </w:rPr>
        <w:br/>
        <w:t>« 1° Le programme de production et de réhabilitation de logements sociaux auxquels sont affectées les ressources tirées de la mutualisation ;</w:t>
      </w:r>
      <w:r w:rsidRPr="00874A27">
        <w:rPr>
          <w:rFonts w:ascii="Arial" w:eastAsia="Times New Roman" w:hAnsi="Arial" w:cs="Arial"/>
          <w:color w:val="000000"/>
          <w:sz w:val="19"/>
          <w:szCs w:val="19"/>
          <w:lang w:eastAsia="fr-FR"/>
        </w:rPr>
        <w:br/>
        <w:t>« 2° La durée d'application de la convention, qui ne peut excéder trois années, et ses conditions de révision ;</w:t>
      </w:r>
      <w:r w:rsidRPr="00874A27">
        <w:rPr>
          <w:rFonts w:ascii="Arial" w:eastAsia="Times New Roman" w:hAnsi="Arial" w:cs="Arial"/>
          <w:color w:val="000000"/>
          <w:sz w:val="19"/>
          <w:szCs w:val="19"/>
          <w:lang w:eastAsia="fr-FR"/>
        </w:rPr>
        <w:br/>
        <w:t>« 3° Les critères selon lesquels sont accordées les aides à la construction, à la réhabilitation ou à la démolition.</w:t>
      </w:r>
      <w:r w:rsidRPr="00874A27">
        <w:rPr>
          <w:rFonts w:ascii="Arial" w:eastAsia="Times New Roman" w:hAnsi="Arial" w:cs="Arial"/>
          <w:color w:val="000000"/>
          <w:sz w:val="19"/>
          <w:szCs w:val="19"/>
          <w:lang w:eastAsia="fr-FR"/>
        </w:rPr>
        <w:br/>
        <w:t>« Les stipulations des conventions ainsi conclues par l'Union sociale pour l'habitat regroupant les fédérations d'organismes d'habitations à loyer modéré entrent en vigueur et s'imposent après approbation par arrêté des ministres concernés. »</w:t>
      </w:r>
    </w:p>
    <w:p w:rsidR="00874A27" w:rsidRPr="00874A27" w:rsidRDefault="00874A27" w:rsidP="00874A27">
      <w:pPr>
        <w:numPr>
          <w:ilvl w:val="1"/>
          <w:numId w:val="3"/>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IV : Elargir les délégations de compétence en matière de politique du logement</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21" w:name="JORFARTI000028772866"/>
      <w:bookmarkEnd w:id="121"/>
      <w:r w:rsidRPr="00874A27">
        <w:rPr>
          <w:rFonts w:ascii="Arial" w:eastAsia="Times New Roman" w:hAnsi="Arial" w:cs="Arial"/>
          <w:b/>
          <w:bCs/>
          <w:color w:val="000000"/>
          <w:sz w:val="23"/>
          <w:szCs w:val="23"/>
          <w:lang w:eastAsia="fr-FR"/>
        </w:rPr>
        <w:lastRenderedPageBreak/>
        <w:t>Article 122 </w:t>
      </w:r>
      <w:hyperlink r:id="rId502" w:tooltip="En savoir plus sur l'article 12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titre préliminaire du livre III du code de la construction et de l'habitation est ainsi modifié :</w:t>
      </w:r>
      <w:r w:rsidRPr="00874A27">
        <w:rPr>
          <w:rFonts w:ascii="Arial" w:eastAsia="Times New Roman" w:hAnsi="Arial" w:cs="Arial"/>
          <w:color w:val="000000"/>
          <w:sz w:val="19"/>
          <w:szCs w:val="19"/>
          <w:lang w:eastAsia="fr-FR"/>
        </w:rPr>
        <w:br/>
        <w:t>1° L'article L. 301-5-1 est ainsi modifié :</w:t>
      </w:r>
      <w:r w:rsidRPr="00874A27">
        <w:rPr>
          <w:rFonts w:ascii="Arial" w:eastAsia="Times New Roman" w:hAnsi="Arial" w:cs="Arial"/>
          <w:color w:val="000000"/>
          <w:sz w:val="19"/>
          <w:szCs w:val="19"/>
          <w:lang w:eastAsia="fr-FR"/>
        </w:rPr>
        <w:br/>
        <w:t>a) Les deux premiers alinéas sont remplacés par des I à VI ainsi rédigés :</w:t>
      </w:r>
      <w:r w:rsidRPr="00874A27">
        <w:rPr>
          <w:rFonts w:ascii="Arial" w:eastAsia="Times New Roman" w:hAnsi="Arial" w:cs="Arial"/>
          <w:color w:val="000000"/>
          <w:sz w:val="19"/>
          <w:szCs w:val="19"/>
          <w:lang w:eastAsia="fr-FR"/>
        </w:rPr>
        <w:br/>
        <w:t>« I. ― Le présent article concerne les établissements publics de coopération intercommunale mentionnés à l'article L. 301-3 et disposant d'un programme local de l'habitat exécutoire, à l'exception, pour les II, IV et V, des métropoles, de la métropole du Grand Paris et de la métropole d'Aix-Marseille-Provence mentionnées respectivement aux articles L. 5217-1, L. 5219-1 et L. 5218-1 du code général des collectivités territoriales.</w:t>
      </w:r>
      <w:r w:rsidRPr="00874A27">
        <w:rPr>
          <w:rFonts w:ascii="Arial" w:eastAsia="Times New Roman" w:hAnsi="Arial" w:cs="Arial"/>
          <w:color w:val="000000"/>
          <w:sz w:val="19"/>
          <w:szCs w:val="19"/>
          <w:lang w:eastAsia="fr-FR"/>
        </w:rPr>
        <w:br/>
        <w:t>« Les III et VI du présent article sont applicables à la métropole de Lyon mentionnée à l'article L. 3611-1 du même code.</w:t>
      </w:r>
      <w:r w:rsidRPr="00874A27">
        <w:rPr>
          <w:rFonts w:ascii="Arial" w:eastAsia="Times New Roman" w:hAnsi="Arial" w:cs="Arial"/>
          <w:color w:val="000000"/>
          <w:sz w:val="19"/>
          <w:szCs w:val="19"/>
          <w:lang w:eastAsia="fr-FR"/>
        </w:rPr>
        <w:br/>
        <w:t>« II. ― Les établissements mentionnés au I peuvent demander à conclure une convention avec l'Etat, par laquelle celui-ci leur délègue les compétences mentionnées aux IV et V.</w:t>
      </w:r>
      <w:r w:rsidRPr="00874A27">
        <w:rPr>
          <w:rFonts w:ascii="Arial" w:eastAsia="Times New Roman" w:hAnsi="Arial" w:cs="Arial"/>
          <w:color w:val="000000"/>
          <w:sz w:val="19"/>
          <w:szCs w:val="19"/>
          <w:lang w:eastAsia="fr-FR"/>
        </w:rPr>
        <w:br/>
        <w:t>« Le représentant de l'Etat dans le département, saisi d'une demande tendant à la conclusion d'une convention, notifie, dans un délai de trois mois, son accord ou son refus, qui est motivé.</w:t>
      </w:r>
      <w:r w:rsidRPr="00874A27">
        <w:rPr>
          <w:rFonts w:ascii="Arial" w:eastAsia="Times New Roman" w:hAnsi="Arial" w:cs="Arial"/>
          <w:color w:val="000000"/>
          <w:sz w:val="19"/>
          <w:szCs w:val="19"/>
          <w:lang w:eastAsia="fr-FR"/>
        </w:rPr>
        <w:br/>
        <w:t>« Cette convention est conclue pour une durée de six ans renouvelable.</w:t>
      </w:r>
      <w:r w:rsidRPr="00874A27">
        <w:rPr>
          <w:rFonts w:ascii="Arial" w:eastAsia="Times New Roman" w:hAnsi="Arial" w:cs="Arial"/>
          <w:color w:val="000000"/>
          <w:sz w:val="19"/>
          <w:szCs w:val="19"/>
          <w:lang w:eastAsia="fr-FR"/>
        </w:rPr>
        <w:br/>
        <w:t>« Au terme des six ans, elle peut être prorogée pour une durée d'un an, par avenant, si l'établissement public de coopération intercommunale dispose d'un programme local de l'habitat exécutoire ou, dans le cas contraire, s'il a pris une délibération engageant l'élaboration d'un programme local de l'habitat. Cette prorogation est renouvelable une fois dans les mêmes conditions.</w:t>
      </w:r>
      <w:r w:rsidRPr="00874A27">
        <w:rPr>
          <w:rFonts w:ascii="Arial" w:eastAsia="Times New Roman" w:hAnsi="Arial" w:cs="Arial"/>
          <w:color w:val="000000"/>
          <w:sz w:val="19"/>
          <w:szCs w:val="19"/>
          <w:lang w:eastAsia="fr-FR"/>
        </w:rPr>
        <w:br/>
        <w:t>« La convention ne peut pas être conclue ou renouvelée avec un établissement public de coopération intercommunale lorsque le représentant de l'Etat dans le département estime que les demandes motivées de modifications émises en application des cinquième et sixième alinéas de l'article L. 302-2 du présent code ou, le cas échéant, en application du 3° de l'article L. 123-12 du code de l'urbanisme n'ont pas suffisamment été prises en compte par l'établissement public de coopération intercommunale.</w:t>
      </w:r>
      <w:r w:rsidRPr="00874A27">
        <w:rPr>
          <w:rFonts w:ascii="Arial" w:eastAsia="Times New Roman" w:hAnsi="Arial" w:cs="Arial"/>
          <w:color w:val="000000"/>
          <w:sz w:val="19"/>
          <w:szCs w:val="19"/>
          <w:lang w:eastAsia="fr-FR"/>
        </w:rPr>
        <w:br/>
        <w:t>« Elle peut être dénoncée par le représentant de l'Etat dans le département, après avis du comité régional de l'habitat et de l'hébergement, s'il estime que les objectifs et engagements définis dans la convention et mentionnés au III du présent article sont insuffisamment atteints ou respectés, et en particulier lorsque les résultats du bilan triennal d'exécution du programme local de l'habitat mentionné au second alinéa de l'article L. 302-3 du présent code ou, le cas échéant, au dernier alinéa de l'article L. 123-12-1 du code de l'urbanisme sont manifestement insuffisants par rapport aux objectifs définis dans la convention.</w:t>
      </w:r>
      <w:r w:rsidRPr="00874A27">
        <w:rPr>
          <w:rFonts w:ascii="Arial" w:eastAsia="Times New Roman" w:hAnsi="Arial" w:cs="Arial"/>
          <w:color w:val="000000"/>
          <w:sz w:val="19"/>
          <w:szCs w:val="19"/>
          <w:lang w:eastAsia="fr-FR"/>
        </w:rPr>
        <w:br/>
        <w:t>« III. ― La convention précise, en application des plans départementaux d'action pour le logement et l'hébergement des personnes défavorisées et en tenant compte des programmes locaux de l'habitat et des actions de rénovation urbaine au sens de la loi n° 2003-710 du 1er août 2003 d'orientation et de programmation pour la ville et la rénovation urbaine, les objectifs poursuivis et les actions à mettre en œuvre en matière de réalisation, de réhabilitation et de démolition de logements locatifs sociaux, notamment de logements pour les personnes mentionnées au II de l'article L. 301-1 du présent code, et de places d'hébergement destinées à accueillir les personnes et les familles mentionnées au deuxième alinéa de l'article 2 de la loi n° 90-449 du 31 mai 1990 visant à la mise en œuvre du droit au logement, ainsi qu'en matière de rénovation de l'habitat privé, notamment dans le cadre d'opérations programmées d'amélioration de l'habitat.</w:t>
      </w:r>
      <w:r w:rsidRPr="00874A27">
        <w:rPr>
          <w:rFonts w:ascii="Arial" w:eastAsia="Times New Roman" w:hAnsi="Arial" w:cs="Arial"/>
          <w:color w:val="000000"/>
          <w:sz w:val="19"/>
          <w:szCs w:val="19"/>
          <w:lang w:eastAsia="fr-FR"/>
        </w:rPr>
        <w:br/>
        <w:t>« Elle précise, par commune, les objectifs et les actions menées dans le cadre de la lutte contre l'habitat indigne.</w:t>
      </w:r>
      <w:r w:rsidRPr="00874A27">
        <w:rPr>
          <w:rFonts w:ascii="Arial" w:eastAsia="Times New Roman" w:hAnsi="Arial" w:cs="Arial"/>
          <w:color w:val="000000"/>
          <w:sz w:val="19"/>
          <w:szCs w:val="19"/>
          <w:lang w:eastAsia="fr-FR"/>
        </w:rPr>
        <w:br/>
        <w:t>« Cette convention précise, le cas échéant, les conditions dans lesquelles l'établissement public de coopération intercommunale devient, sur son territoire, le garant du droit à un logement décent et indépendant.</w:t>
      </w:r>
      <w:r w:rsidRPr="00874A27">
        <w:rPr>
          <w:rFonts w:ascii="Arial" w:eastAsia="Times New Roman" w:hAnsi="Arial" w:cs="Arial"/>
          <w:color w:val="000000"/>
          <w:sz w:val="19"/>
          <w:szCs w:val="19"/>
          <w:lang w:eastAsia="fr-FR"/>
        </w:rPr>
        <w:br/>
        <w:t>« Elle indique également les modalités de reprise par le délégataire, pour le compte de l'Etat ou de l'Agence nationale de l'habitat, des contrats ou accords spécifiques conclus entre ces derniers, d'une part, et l'établissement public de coopération intercommunale ou toute autre collectivité territoriale, d'autre part, relatifs à la mise en œuvre, sur le territoire du délégataire, de tout ou partie des compétences déléguées et mentionnées aux IV et V du présent article.</w:t>
      </w:r>
      <w:r w:rsidRPr="00874A27">
        <w:rPr>
          <w:rFonts w:ascii="Arial" w:eastAsia="Times New Roman" w:hAnsi="Arial" w:cs="Arial"/>
          <w:color w:val="000000"/>
          <w:sz w:val="19"/>
          <w:szCs w:val="19"/>
          <w:lang w:eastAsia="fr-FR"/>
        </w:rPr>
        <w:br/>
        <w:t>« Le cas échéant, pour la compétence mentionnée au 3° du même V, la convention fixe notamment les modalités d'exercice sur le territoire de la veille sociale mentionnée à l'article L. 345-2 du code de l'action sociale et des familles et d'articulation avec le service intégré d'accueil et d'orientation mis en place au niveau départemental par le représentant de l'Etat dans le département en application de l'article L. 345-2-4 du même code. Elle prévoit également les modalités de transmission au représentant de l'Etat des informations et données nécessaires au suivi de la mise en œuvre de la délégation de compétences et à l'allocation des ressources, ainsi que des informations et données prévues par le décret mentionné au 3° de l'article L. 345-4 du même code.</w:t>
      </w:r>
      <w:r w:rsidRPr="00874A27">
        <w:rPr>
          <w:rFonts w:ascii="Arial" w:eastAsia="Times New Roman" w:hAnsi="Arial" w:cs="Arial"/>
          <w:color w:val="000000"/>
          <w:sz w:val="19"/>
          <w:szCs w:val="19"/>
          <w:lang w:eastAsia="fr-FR"/>
        </w:rPr>
        <w:br/>
        <w:t xml:space="preserve">« IV. ― Lorsqu'une convention de délégation est conclue, la délégation porte obligatoirement sur les </w:t>
      </w:r>
      <w:r w:rsidRPr="00874A27">
        <w:rPr>
          <w:rFonts w:ascii="Arial" w:eastAsia="Times New Roman" w:hAnsi="Arial" w:cs="Arial"/>
          <w:color w:val="000000"/>
          <w:sz w:val="19"/>
          <w:szCs w:val="19"/>
          <w:lang w:eastAsia="fr-FR"/>
        </w:rPr>
        <w:lastRenderedPageBreak/>
        <w:t>compétences suivantes :</w:t>
      </w:r>
      <w:r w:rsidRPr="00874A27">
        <w:rPr>
          <w:rFonts w:ascii="Arial" w:eastAsia="Times New Roman" w:hAnsi="Arial" w:cs="Arial"/>
          <w:color w:val="000000"/>
          <w:sz w:val="19"/>
          <w:szCs w:val="19"/>
          <w:lang w:eastAsia="fr-FR"/>
        </w:rPr>
        <w:br/>
        <w:t>« 1° L'attribution des aides au logement locatif social et la notification aux bénéficiaires ;</w:t>
      </w:r>
      <w:r w:rsidRPr="00874A27">
        <w:rPr>
          <w:rFonts w:ascii="Arial" w:eastAsia="Times New Roman" w:hAnsi="Arial" w:cs="Arial"/>
          <w:color w:val="000000"/>
          <w:sz w:val="19"/>
          <w:szCs w:val="19"/>
          <w:lang w:eastAsia="fr-FR"/>
        </w:rPr>
        <w:br/>
        <w:t>« 2° L'attribution des aides en faveur de l'habitat privé, ainsi que la signature des conventions mentionnés à l'article L. 321-4, par délégation de l'Agence nationale de l'habitat.</w:t>
      </w:r>
      <w:r w:rsidRPr="00874A27">
        <w:rPr>
          <w:rFonts w:ascii="Arial" w:eastAsia="Times New Roman" w:hAnsi="Arial" w:cs="Arial"/>
          <w:color w:val="000000"/>
          <w:sz w:val="19"/>
          <w:szCs w:val="19"/>
          <w:lang w:eastAsia="fr-FR"/>
        </w:rPr>
        <w:br/>
        <w:t>« V. ― La délégation peut également porter sur tout ou partie des compétences suivantes :</w:t>
      </w:r>
      <w:r w:rsidRPr="00874A27">
        <w:rPr>
          <w:rFonts w:ascii="Arial" w:eastAsia="Times New Roman" w:hAnsi="Arial" w:cs="Arial"/>
          <w:color w:val="000000"/>
          <w:sz w:val="19"/>
          <w:szCs w:val="19"/>
          <w:lang w:eastAsia="fr-FR"/>
        </w:rPr>
        <w:br/>
        <w:t>« 1° La garantie du droit à un logement décent et indépendant mentionné au présent titre ainsi qu'aux articles L. 441-2-3 et L. 441-2-3-1 et, pour exercer cette garantie, la délégation de tout ou partie des réservations de logements dont le représentant de l'Etat dans le département bénéficie en application de l'article L. 441-1, à l'exception des logements réservés au bénéfice des agents civils et militaires de l'Etat, ainsi que la compétence pour conclure l'accord mentionné au premier alinéa de l'article L. 313-26-2 en lieu et place du représentant de l'Etat ;</w:t>
      </w:r>
      <w:r w:rsidRPr="00874A27">
        <w:rPr>
          <w:rFonts w:ascii="Arial" w:eastAsia="Times New Roman" w:hAnsi="Arial" w:cs="Arial"/>
          <w:color w:val="000000"/>
          <w:sz w:val="19"/>
          <w:szCs w:val="19"/>
          <w:lang w:eastAsia="fr-FR"/>
        </w:rPr>
        <w:br/>
        <w:t>« 2° La mise en œuvre de la procédure de réquisition avec attributaire prévue aux articles L. 642-1 à L. 642-28 ;</w:t>
      </w:r>
      <w:r w:rsidRPr="00874A27">
        <w:rPr>
          <w:rFonts w:ascii="Arial" w:eastAsia="Times New Roman" w:hAnsi="Arial" w:cs="Arial"/>
          <w:color w:val="000000"/>
          <w:sz w:val="19"/>
          <w:szCs w:val="19"/>
          <w:lang w:eastAsia="fr-FR"/>
        </w:rPr>
        <w:br/>
        <w:t>« 3° La gestion de la veille sociale, de l'accueil, de l'hébergement et de l'accompagnement au logement de toute personne ou famille sans domicile ou éprouvant des difficultés particulières d'accès au logement en raison de l'inadaptation de ses ressources ou de ses conditions d'existence, dans le respect des articles L. 345-2-2 et L. 345-2-3 du code de l'action sociale et des familles, ainsi que le financement des organismes et dispositifs qui y contribuent, mentionnés au 8° du I de l'article L. 312-1 et aux articles L. 322-1 et L. 345-2 du même code et aux articles L. 365-1, L. 631-11 et L. 633-1 du présent code.</w:t>
      </w:r>
      <w:r w:rsidRPr="00874A27">
        <w:rPr>
          <w:rFonts w:ascii="Arial" w:eastAsia="Times New Roman" w:hAnsi="Arial" w:cs="Arial"/>
          <w:color w:val="000000"/>
          <w:sz w:val="19"/>
          <w:szCs w:val="19"/>
          <w:lang w:eastAsia="fr-FR"/>
        </w:rPr>
        <w:br/>
        <w:t>« Les compétences déléguées en application du 1°, de même que celles déléguées en application du 3° du présent V relatives à l'aide sociale prévue à l'article L. 345-1 du code de l'action sociale et des familles pour l'accueil dans les organismes mentionnés au 8° du I de l'article L. 312-1 du même code, sont exercées par le président de l'établissement public de coopération intercommunale.</w:t>
      </w:r>
      <w:r w:rsidRPr="00874A27">
        <w:rPr>
          <w:rFonts w:ascii="Arial" w:eastAsia="Times New Roman" w:hAnsi="Arial" w:cs="Arial"/>
          <w:color w:val="000000"/>
          <w:sz w:val="19"/>
          <w:szCs w:val="19"/>
          <w:lang w:eastAsia="fr-FR"/>
        </w:rPr>
        <w:br/>
        <w:t>« VI. ― La convention de délégation fixe, d'une part, dans la limite des dotations ouvertes en loi de finances, le montant des droits à engagement alloués à l'établissement public de coopération intercommunale et, d'autre part, le montant des crédits que celui-ci affecte sur son propre budget à la réalisation des objectifs de la convention. Elle précise annuellement, au sein des droits à engagement alloués, les parts affectées au logement social ou à l'hébergement, d'une part, et à l'habitat privé, d'autre part. » ;</w:t>
      </w:r>
      <w:r w:rsidRPr="00874A27">
        <w:rPr>
          <w:rFonts w:ascii="Arial" w:eastAsia="Times New Roman" w:hAnsi="Arial" w:cs="Arial"/>
          <w:color w:val="000000"/>
          <w:sz w:val="19"/>
          <w:szCs w:val="19"/>
          <w:lang w:eastAsia="fr-FR"/>
        </w:rPr>
        <w:br/>
        <w:t>b) Le troisième alinéa est ainsi modifié :</w:t>
      </w:r>
      <w:r w:rsidRPr="00874A27">
        <w:rPr>
          <w:rFonts w:ascii="Arial" w:eastAsia="Times New Roman" w:hAnsi="Arial" w:cs="Arial"/>
          <w:color w:val="000000"/>
          <w:sz w:val="19"/>
          <w:szCs w:val="19"/>
          <w:lang w:eastAsia="fr-FR"/>
        </w:rPr>
        <w:br/>
        <w:t>― au début de la première phrase, les mots : « L'établissement public de coopération intercommunale attribue les » sont remplacés par les mots : « Elle définit les conditions d'attribution des » ;</w:t>
      </w:r>
      <w:r w:rsidRPr="00874A27">
        <w:rPr>
          <w:rFonts w:ascii="Arial" w:eastAsia="Times New Roman" w:hAnsi="Arial" w:cs="Arial"/>
          <w:color w:val="000000"/>
          <w:sz w:val="19"/>
          <w:szCs w:val="19"/>
          <w:lang w:eastAsia="fr-FR"/>
        </w:rPr>
        <w:br/>
        <w:t>― au début de la troisième phrase, les mots : « La convention » sont remplacés par le mot : « Elle » ;</w:t>
      </w:r>
      <w:r w:rsidRPr="00874A27">
        <w:rPr>
          <w:rFonts w:ascii="Arial" w:eastAsia="Times New Roman" w:hAnsi="Arial" w:cs="Arial"/>
          <w:color w:val="000000"/>
          <w:sz w:val="19"/>
          <w:szCs w:val="19"/>
          <w:lang w:eastAsia="fr-FR"/>
        </w:rPr>
        <w:br/>
        <w:t>c) Au début de la première phrase du quatrième alinéa, les mots : « Les décisions d'attribution des aides en faveur de l'habitat privé sont » sont remplacés par les mots : « Elle définit les conditions d'attribution des aides en faveur de l'habitat privé faisant l'objet de décisions » ;</w:t>
      </w:r>
      <w:r w:rsidRPr="00874A27">
        <w:rPr>
          <w:rFonts w:ascii="Arial" w:eastAsia="Times New Roman" w:hAnsi="Arial" w:cs="Arial"/>
          <w:color w:val="000000"/>
          <w:sz w:val="19"/>
          <w:szCs w:val="19"/>
          <w:lang w:eastAsia="fr-FR"/>
        </w:rPr>
        <w:br/>
        <w:t>d) Au début des cinquième, septième et dixième alinéas, les mots : « La convention » sont remplacés par le mot : « Elle » et, au sixième alinéa, les mots : « la convention » sont remplacés par le mot : « elle » ;</w:t>
      </w:r>
      <w:r w:rsidRPr="00874A27">
        <w:rPr>
          <w:rFonts w:ascii="Arial" w:eastAsia="Times New Roman" w:hAnsi="Arial" w:cs="Arial"/>
          <w:color w:val="000000"/>
          <w:sz w:val="19"/>
          <w:szCs w:val="19"/>
          <w:lang w:eastAsia="fr-FR"/>
        </w:rPr>
        <w:br/>
        <w:t>e) Les deux derniers alinéas sont supprimés ;</w:t>
      </w:r>
      <w:r w:rsidRPr="00874A27">
        <w:rPr>
          <w:rFonts w:ascii="Arial" w:eastAsia="Times New Roman" w:hAnsi="Arial" w:cs="Arial"/>
          <w:color w:val="000000"/>
          <w:sz w:val="19"/>
          <w:szCs w:val="19"/>
          <w:lang w:eastAsia="fr-FR"/>
        </w:rPr>
        <w:br/>
        <w:t>2° L'article L. 301-5-2 est ainsi modifié :</w:t>
      </w:r>
      <w:r w:rsidRPr="00874A27">
        <w:rPr>
          <w:rFonts w:ascii="Arial" w:eastAsia="Times New Roman" w:hAnsi="Arial" w:cs="Arial"/>
          <w:color w:val="000000"/>
          <w:sz w:val="19"/>
          <w:szCs w:val="19"/>
          <w:lang w:eastAsia="fr-FR"/>
        </w:rPr>
        <w:br/>
        <w:t>a) Le premier alinéa est complété par les mots : « ainsi que pour signer les conventions mentionnées à l'article L. 321-4 par délégation de l'Agence nationale de l'habitat » ;</w:t>
      </w:r>
      <w:r w:rsidRPr="00874A27">
        <w:rPr>
          <w:rFonts w:ascii="Arial" w:eastAsia="Times New Roman" w:hAnsi="Arial" w:cs="Arial"/>
          <w:color w:val="000000"/>
          <w:sz w:val="19"/>
          <w:szCs w:val="19"/>
          <w:lang w:eastAsia="fr-FR"/>
        </w:rPr>
        <w:br/>
        <w:t>b) La première phrase du deuxième alinéa est ainsi modifiée :</w:t>
      </w:r>
      <w:r w:rsidRPr="00874A27">
        <w:rPr>
          <w:rFonts w:ascii="Arial" w:eastAsia="Times New Roman" w:hAnsi="Arial" w:cs="Arial"/>
          <w:color w:val="000000"/>
          <w:sz w:val="19"/>
          <w:szCs w:val="19"/>
          <w:lang w:eastAsia="fr-FR"/>
        </w:rPr>
        <w:br/>
        <w:t>― après la référence : « L. 301-5-1 », sont insérés les mots : « du présent code, du </w:t>
      </w:r>
      <w:hyperlink r:id="rId503" w:history="1">
        <w:r w:rsidRPr="00874A27">
          <w:rPr>
            <w:rFonts w:ascii="Arial" w:eastAsia="Times New Roman" w:hAnsi="Arial" w:cs="Arial"/>
            <w:color w:val="336699"/>
            <w:sz w:val="19"/>
            <w:szCs w:val="19"/>
            <w:u w:val="single"/>
            <w:lang w:eastAsia="fr-FR"/>
          </w:rPr>
          <w:t>VI de l'article L. 5219-1 ou du II de l'article L. 5217-2 du code général des collectivités territoriales</w:t>
        </w:r>
      </w:hyperlink>
      <w:r w:rsidRPr="00874A27">
        <w:rPr>
          <w:rFonts w:ascii="Arial" w:eastAsia="Times New Roman" w:hAnsi="Arial" w:cs="Arial"/>
          <w:color w:val="000000"/>
          <w:sz w:val="19"/>
          <w:szCs w:val="19"/>
          <w:lang w:eastAsia="fr-FR"/>
        </w:rPr>
        <w:t>, et pour le département du Rhône, hors du périmètre de la métropole de Lyon si celle-ci a conclu une convention en application de l'article L. 3641-5 du même code » ;</w:t>
      </w:r>
      <w:r w:rsidRPr="00874A27">
        <w:rPr>
          <w:rFonts w:ascii="Arial" w:eastAsia="Times New Roman" w:hAnsi="Arial" w:cs="Arial"/>
          <w:color w:val="000000"/>
          <w:sz w:val="19"/>
          <w:szCs w:val="19"/>
          <w:lang w:eastAsia="fr-FR"/>
        </w:rPr>
        <w:br/>
        <w:t>― après la première occurrence du mot : « logement », sont insérés les mots : « et l'hébergement » ;</w:t>
      </w:r>
      <w:r w:rsidRPr="00874A27">
        <w:rPr>
          <w:rFonts w:ascii="Arial" w:eastAsia="Times New Roman" w:hAnsi="Arial" w:cs="Arial"/>
          <w:color w:val="000000"/>
          <w:sz w:val="19"/>
          <w:szCs w:val="19"/>
          <w:lang w:eastAsia="fr-FR"/>
        </w:rPr>
        <w:br/>
        <w:t>― après le mot : « sociaux », sont insérés les mots : «, notamment pour les personnes mentionnées au II de l'article L. 301-1, » ;</w:t>
      </w:r>
      <w:r w:rsidRPr="00874A27">
        <w:rPr>
          <w:rFonts w:ascii="Arial" w:eastAsia="Times New Roman" w:hAnsi="Arial" w:cs="Arial"/>
          <w:color w:val="000000"/>
          <w:sz w:val="19"/>
          <w:szCs w:val="19"/>
          <w:lang w:eastAsia="fr-FR"/>
        </w:rPr>
        <w:br/>
        <w:t>― les mots : « aux articles 1er et 4 » sont remplacés par les mots : « au deuxième alinéa de l'article 2 » ;</w:t>
      </w:r>
      <w:r w:rsidRPr="00874A27">
        <w:rPr>
          <w:rFonts w:ascii="Arial" w:eastAsia="Times New Roman" w:hAnsi="Arial" w:cs="Arial"/>
          <w:color w:val="000000"/>
          <w:sz w:val="19"/>
          <w:szCs w:val="19"/>
          <w:lang w:eastAsia="fr-FR"/>
        </w:rPr>
        <w:br/>
        <w:t>c) La dernière phrase du troisième alinéa est supprimée ;</w:t>
      </w:r>
      <w:r w:rsidRPr="00874A27">
        <w:rPr>
          <w:rFonts w:ascii="Arial" w:eastAsia="Times New Roman" w:hAnsi="Arial" w:cs="Arial"/>
          <w:color w:val="000000"/>
          <w:sz w:val="19"/>
          <w:szCs w:val="19"/>
          <w:lang w:eastAsia="fr-FR"/>
        </w:rPr>
        <w:br/>
        <w:t>d) Au dernier alinéa, après la référence : « L. 301-5-1 », sont insérés les mots : « du présent code, du VI de l'article L. 5219-1 ou du II de l'article L. 5217-2 du code général des collectivités territoriales, ou, pour le département du Rhône, lorsque la métropole de Lyon signe avec l'Etat une convention régie par l'article L. 3641-5 du même code », et le mot : « dernière » est remplacé par le mot : « convention » ;</w:t>
      </w:r>
      <w:r w:rsidRPr="00874A27">
        <w:rPr>
          <w:rFonts w:ascii="Arial" w:eastAsia="Times New Roman" w:hAnsi="Arial" w:cs="Arial"/>
          <w:color w:val="000000"/>
          <w:sz w:val="19"/>
          <w:szCs w:val="19"/>
          <w:lang w:eastAsia="fr-FR"/>
        </w:rPr>
        <w:br/>
        <w:t>3° A l'article L. 301-5-3, les mots : « de son septième alinéa » sont remplacés par les mots : « du sixième alinéa de son VI » ;</w:t>
      </w:r>
      <w:r w:rsidRPr="00874A27">
        <w:rPr>
          <w:rFonts w:ascii="Arial" w:eastAsia="Times New Roman" w:hAnsi="Arial" w:cs="Arial"/>
          <w:color w:val="000000"/>
          <w:sz w:val="19"/>
          <w:szCs w:val="19"/>
          <w:lang w:eastAsia="fr-FR"/>
        </w:rPr>
        <w:br/>
        <w:t>4° L'article L. 302-1 est ainsi modifié :</w:t>
      </w:r>
      <w:r w:rsidRPr="00874A27">
        <w:rPr>
          <w:rFonts w:ascii="Arial" w:eastAsia="Times New Roman" w:hAnsi="Arial" w:cs="Arial"/>
          <w:color w:val="000000"/>
          <w:sz w:val="19"/>
          <w:szCs w:val="19"/>
          <w:lang w:eastAsia="fr-FR"/>
        </w:rPr>
        <w:br/>
        <w:t>a) Au début du premier alinéa, est ajoutée la mention : « I. ― » ;</w:t>
      </w:r>
      <w:r w:rsidRPr="00874A27">
        <w:rPr>
          <w:rFonts w:ascii="Arial" w:eastAsia="Times New Roman" w:hAnsi="Arial" w:cs="Arial"/>
          <w:color w:val="000000"/>
          <w:sz w:val="19"/>
          <w:szCs w:val="19"/>
          <w:lang w:eastAsia="fr-FR"/>
        </w:rPr>
        <w:br/>
        <w:t>b) Au début du troisième alinéa, est ajoutée la mention : « II. ―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c) Le cinquième alinéa est ainsi modifié :</w:t>
      </w:r>
      <w:r w:rsidRPr="00874A27">
        <w:rPr>
          <w:rFonts w:ascii="Arial" w:eastAsia="Times New Roman" w:hAnsi="Arial" w:cs="Arial"/>
          <w:color w:val="000000"/>
          <w:sz w:val="19"/>
          <w:szCs w:val="19"/>
          <w:lang w:eastAsia="fr-FR"/>
        </w:rPr>
        <w:br/>
        <w:t>― au début, est ajoutée la mention : « III. ― » ;</w:t>
      </w:r>
      <w:r w:rsidRPr="00874A27">
        <w:rPr>
          <w:rFonts w:ascii="Arial" w:eastAsia="Times New Roman" w:hAnsi="Arial" w:cs="Arial"/>
          <w:color w:val="000000"/>
          <w:sz w:val="19"/>
          <w:szCs w:val="19"/>
          <w:lang w:eastAsia="fr-FR"/>
        </w:rPr>
        <w:br/>
        <w:t>― à la seconde phrase, la référence : « troisième alinéa de l'article 4 » est remplacée par la référence : « premier alinéa de l'article 1er-1 » ;</w:t>
      </w:r>
      <w:r w:rsidRPr="00874A27">
        <w:rPr>
          <w:rFonts w:ascii="Arial" w:eastAsia="Times New Roman" w:hAnsi="Arial" w:cs="Arial"/>
          <w:color w:val="000000"/>
          <w:sz w:val="19"/>
          <w:szCs w:val="19"/>
          <w:lang w:eastAsia="fr-FR"/>
        </w:rPr>
        <w:br/>
        <w:t>d) Le septième alinéa est ainsi modifié :</w:t>
      </w:r>
      <w:r w:rsidRPr="00874A27">
        <w:rPr>
          <w:rFonts w:ascii="Arial" w:eastAsia="Times New Roman" w:hAnsi="Arial" w:cs="Arial"/>
          <w:color w:val="000000"/>
          <w:sz w:val="19"/>
          <w:szCs w:val="19"/>
          <w:lang w:eastAsia="fr-FR"/>
        </w:rPr>
        <w:br/>
        <w:t>― au début, est ajoutée la mention : « IV. ― » ;</w:t>
      </w:r>
      <w:r w:rsidRPr="00874A27">
        <w:rPr>
          <w:rFonts w:ascii="Arial" w:eastAsia="Times New Roman" w:hAnsi="Arial" w:cs="Arial"/>
          <w:color w:val="000000"/>
          <w:sz w:val="19"/>
          <w:szCs w:val="19"/>
          <w:lang w:eastAsia="fr-FR"/>
        </w:rPr>
        <w:br/>
        <w:t>― après le mot : « respect », sont insérés les mots : « du droit au logement et » ;</w:t>
      </w:r>
      <w:r w:rsidRPr="00874A27">
        <w:rPr>
          <w:rFonts w:ascii="Arial" w:eastAsia="Times New Roman" w:hAnsi="Arial" w:cs="Arial"/>
          <w:color w:val="000000"/>
          <w:sz w:val="19"/>
          <w:szCs w:val="19"/>
          <w:lang w:eastAsia="fr-FR"/>
        </w:rPr>
        <w:br/>
        <w:t>e) Le neuvième alinéa est ainsi rédigé :</w:t>
      </w:r>
      <w:r w:rsidRPr="00874A27">
        <w:rPr>
          <w:rFonts w:ascii="Arial" w:eastAsia="Times New Roman" w:hAnsi="Arial" w:cs="Arial"/>
          <w:color w:val="000000"/>
          <w:sz w:val="19"/>
          <w:szCs w:val="19"/>
          <w:lang w:eastAsia="fr-FR"/>
        </w:rPr>
        <w:br/>
        <w:t>« ― les actions à mener en vue de l'amélioration et de la réhabilitation du parc existant, qu'il soit public ou privé, et les actions à destination des copropriétés en difficulté, notamment les actions de prévention et d'accompagnement. A cette fin, il précise les opérations programmées d'amélioration de l'habitat, le cas échéant, les opérations de requalification des copropriétés dégradées et les actions de lutte contre l'habitat indigne ; »</w:t>
      </w:r>
      <w:r w:rsidRPr="00874A27">
        <w:rPr>
          <w:rFonts w:ascii="Arial" w:eastAsia="Times New Roman" w:hAnsi="Arial" w:cs="Arial"/>
          <w:color w:val="000000"/>
          <w:sz w:val="19"/>
          <w:szCs w:val="19"/>
          <w:lang w:eastAsia="fr-FR"/>
        </w:rPr>
        <w:br/>
        <w:t>f) Le dernier alinéa est supprimé ;</w:t>
      </w:r>
      <w:r w:rsidRPr="00874A27">
        <w:rPr>
          <w:rFonts w:ascii="Arial" w:eastAsia="Times New Roman" w:hAnsi="Arial" w:cs="Arial"/>
          <w:color w:val="000000"/>
          <w:sz w:val="19"/>
          <w:szCs w:val="19"/>
          <w:lang w:eastAsia="fr-FR"/>
        </w:rPr>
        <w:br/>
        <w:t>5° Au premier alinéa de l'article L. 302-2, la référence : « quatrième alinéa » est remplacée par la référence : « second alinéa du II » ;</w:t>
      </w:r>
      <w:r w:rsidRPr="00874A27">
        <w:rPr>
          <w:rFonts w:ascii="Arial" w:eastAsia="Times New Roman" w:hAnsi="Arial" w:cs="Arial"/>
          <w:color w:val="000000"/>
          <w:sz w:val="19"/>
          <w:szCs w:val="19"/>
          <w:lang w:eastAsia="fr-FR"/>
        </w:rPr>
        <w:br/>
        <w:t>6° Au second alinéa de l'article L. 302-3, la référence : « troisième alinéa » est remplacée par la référence : « premier alinéa du II » ;</w:t>
      </w:r>
      <w:r w:rsidRPr="00874A27">
        <w:rPr>
          <w:rFonts w:ascii="Arial" w:eastAsia="Times New Roman" w:hAnsi="Arial" w:cs="Arial"/>
          <w:color w:val="000000"/>
          <w:sz w:val="19"/>
          <w:szCs w:val="19"/>
          <w:lang w:eastAsia="fr-FR"/>
        </w:rPr>
        <w:br/>
        <w:t>7° A l'article L. 302-4-1, la référence : « à l'avant-dernier alinéa » est remplacée par la référence : « au dernier alinéa du IV » ;</w:t>
      </w:r>
      <w:r w:rsidRPr="00874A27">
        <w:rPr>
          <w:rFonts w:ascii="Arial" w:eastAsia="Times New Roman" w:hAnsi="Arial" w:cs="Arial"/>
          <w:color w:val="000000"/>
          <w:sz w:val="19"/>
          <w:szCs w:val="19"/>
          <w:lang w:eastAsia="fr-FR"/>
        </w:rPr>
        <w:br/>
        <w:t>8° Au septième alinéa de l'article L. 302-7, les mots : « Lorsque la commune appartient à un établissement public de coopération intercommunale à fiscalité propre ayant conclu une convention mentionnée au II de l'article L. 301-5-1, la somme correspondante est versée à l'établissement public de coopération intercommunale » sont remplacés par les mots : « Lorsque la commune appartient à un établissement public de coopération intercommunale à fiscalité propre ayant conclu une convention mentionnée au II de l'article L. 301-5-1 du présent code, ou au VI de l'article L. 5219-1 ou au </w:t>
      </w:r>
      <w:hyperlink r:id="rId504" w:history="1">
        <w:r w:rsidRPr="00874A27">
          <w:rPr>
            <w:rFonts w:ascii="Arial" w:eastAsia="Times New Roman" w:hAnsi="Arial" w:cs="Arial"/>
            <w:color w:val="336699"/>
            <w:sz w:val="19"/>
            <w:szCs w:val="19"/>
            <w:u w:val="single"/>
            <w:lang w:eastAsia="fr-FR"/>
          </w:rPr>
          <w:t>II de l'article L. 5217-2 du code général des collectivités territoriales</w:t>
        </w:r>
      </w:hyperlink>
      <w:r w:rsidRPr="00874A27">
        <w:rPr>
          <w:rFonts w:ascii="Arial" w:eastAsia="Times New Roman" w:hAnsi="Arial" w:cs="Arial"/>
          <w:color w:val="000000"/>
          <w:sz w:val="19"/>
          <w:szCs w:val="19"/>
          <w:lang w:eastAsia="fr-FR"/>
        </w:rPr>
        <w:t>, ou lorsque la commune appartient à la métropole de Lyon ayant conclu une convention mentionnée à l'article L. 3641-5 du même code, la somme correspondante est versée respectivement à l'établissement public de coopération intercommunale ou à la métropole de Lyon » ;</w:t>
      </w:r>
      <w:r w:rsidRPr="00874A27">
        <w:rPr>
          <w:rFonts w:ascii="Arial" w:eastAsia="Times New Roman" w:hAnsi="Arial" w:cs="Arial"/>
          <w:color w:val="000000"/>
          <w:sz w:val="19"/>
          <w:szCs w:val="19"/>
          <w:lang w:eastAsia="fr-FR"/>
        </w:rPr>
        <w:br/>
        <w:t>9° Au II de l'article L. 302-8, la référence : « au douzième alinéa » est remplacée par la référence : « au sixième alinéa du IV » ;</w:t>
      </w:r>
      <w:r w:rsidRPr="00874A27">
        <w:rPr>
          <w:rFonts w:ascii="Arial" w:eastAsia="Times New Roman" w:hAnsi="Arial" w:cs="Arial"/>
          <w:color w:val="000000"/>
          <w:sz w:val="19"/>
          <w:szCs w:val="19"/>
          <w:lang w:eastAsia="fr-FR"/>
        </w:rPr>
        <w:br/>
        <w:t>10° La section 1 du chapitre II est complétée par un article L. 302-4-2 ainsi rédigé :</w:t>
      </w:r>
      <w:r w:rsidRPr="00874A27">
        <w:rPr>
          <w:rFonts w:ascii="Arial" w:eastAsia="Times New Roman" w:hAnsi="Arial" w:cs="Arial"/>
          <w:color w:val="000000"/>
          <w:sz w:val="19"/>
          <w:szCs w:val="19"/>
          <w:lang w:eastAsia="fr-FR"/>
        </w:rPr>
        <w:br/>
        <w:t>« Art. L. 302-4-2.-I. ― Au terme des six ans, le programme local de l'habitat peut être prorogé pour une durée maximale de deux ans par délibération de l'organe délibérant de l'établissement public de coopération intercommunale, après accord du représentant de l'Etat dans le département, lorsque l'établissement public de coopération intercommunale a pris une délibération engageant l'élaboration d'un nouveau programme local de l'habitat.</w:t>
      </w:r>
      <w:r w:rsidRPr="00874A27">
        <w:rPr>
          <w:rFonts w:ascii="Arial" w:eastAsia="Times New Roman" w:hAnsi="Arial" w:cs="Arial"/>
          <w:color w:val="000000"/>
          <w:sz w:val="19"/>
          <w:szCs w:val="19"/>
          <w:lang w:eastAsia="fr-FR"/>
        </w:rPr>
        <w:br/>
        <w:t>« II. ― En cas de modification du périmètre d'un établissement public de coopération intercommunale ou de création d'un nouvel établissement public de coopération intercommunale par fusion de plusieurs établissements publics de coopération intercommunale, les dispositions des programmes locaux de l'habitat exécutoires préexistants demeurent applicables. Cet établissement public de coopération intercommunale est considéré, pendant une durée maximale de deux ans, et dans l'attente de l'entrée en vigueur d'un programme local de l'habitat exécutoire couvrant l'ensemble de son périmètre, comme doté d'un programme local de l'habitat exécutoire reprenant les orientations et le programme d'action de ce ou ces programmes locaux de l'habitat préexistants.</w:t>
      </w:r>
      <w:r w:rsidRPr="00874A27">
        <w:rPr>
          <w:rFonts w:ascii="Arial" w:eastAsia="Times New Roman" w:hAnsi="Arial" w:cs="Arial"/>
          <w:color w:val="000000"/>
          <w:sz w:val="19"/>
          <w:szCs w:val="19"/>
          <w:lang w:eastAsia="fr-FR"/>
        </w:rPr>
        <w:br/>
        <w:t>« III. ― Lorsqu'une convention de délégation a été conclue par un établissement public de coopération intercommunale dans les conditions de l'article L. 301-5-1 du présent code, du </w:t>
      </w:r>
      <w:hyperlink r:id="rId505" w:history="1">
        <w:r w:rsidRPr="00874A27">
          <w:rPr>
            <w:rFonts w:ascii="Arial" w:eastAsia="Times New Roman" w:hAnsi="Arial" w:cs="Arial"/>
            <w:color w:val="336699"/>
            <w:sz w:val="19"/>
            <w:szCs w:val="19"/>
            <w:u w:val="single"/>
            <w:lang w:eastAsia="fr-FR"/>
          </w:rPr>
          <w:t>VI de l'article L. 5219-1 ou du II de l'article L. 5217-2 du code général des collectivités territoriales</w:t>
        </w:r>
      </w:hyperlink>
      <w:r w:rsidRPr="00874A27">
        <w:rPr>
          <w:rFonts w:ascii="Arial" w:eastAsia="Times New Roman" w:hAnsi="Arial" w:cs="Arial"/>
          <w:color w:val="000000"/>
          <w:sz w:val="19"/>
          <w:szCs w:val="19"/>
          <w:lang w:eastAsia="fr-FR"/>
        </w:rPr>
        <w:t>, ou, pour le département du Rhône, lorsque la métropole de Lyon signe avec l'Etat une convention de délégation régie par l'article L. 3641-5 du même code, sur la base d'un programme local exécutoire prorogé dans les conditions du I du présent article ou résultant de l'application des dispositions du II, cette convention peut être dénoncée par le représentant de l'Etat dans le département, après avis du comité régional de l'habitat et de l'hébergement, si le délégataire ne s'est pas doté d'un nouveau programme local de l'habitat exécutoire sur l'ensemble de son périmètre, dans le délai maximal de deux ans mentionné aux I et II du présent article. »</w:t>
      </w:r>
      <w:r w:rsidRPr="00874A27">
        <w:rPr>
          <w:rFonts w:ascii="Arial" w:eastAsia="Times New Roman" w:hAnsi="Arial" w:cs="Arial"/>
          <w:color w:val="000000"/>
          <w:sz w:val="19"/>
          <w:szCs w:val="19"/>
          <w:lang w:eastAsia="fr-FR"/>
        </w:rPr>
        <w:br/>
        <w:t>II. ― Après le mot : « rattachés », la fin de la seconde phrase du deuxième alinéa de l'article L. 445-1 du même code est ainsi rédigée : « ainsi que pour les organismes disposant d'un patrimoine représentant plus de 20 % du parc social sur leur territoire. Ils peuvent l'être pour les autres organismes disposant d'un patrimoine sur leur territoire. »</w:t>
      </w:r>
      <w:r w:rsidRPr="00874A27">
        <w:rPr>
          <w:rFonts w:ascii="Arial" w:eastAsia="Times New Roman" w:hAnsi="Arial" w:cs="Arial"/>
          <w:color w:val="000000"/>
          <w:sz w:val="19"/>
          <w:szCs w:val="19"/>
          <w:lang w:eastAsia="fr-FR"/>
        </w:rPr>
        <w:br/>
        <w:t>III. ― Au second alinéa de l'article L. 321-1-1 du même code, les mots : « lorsque ces conventions permettent l'octroi d'une aide publique mentionnée au premier alinéa de l'article L. 301-3 » sont supprimés.</w:t>
      </w:r>
      <w:r w:rsidRPr="00874A27">
        <w:rPr>
          <w:rFonts w:ascii="Arial" w:eastAsia="Times New Roman" w:hAnsi="Arial" w:cs="Arial"/>
          <w:color w:val="000000"/>
          <w:sz w:val="19"/>
          <w:szCs w:val="19"/>
          <w:lang w:eastAsia="fr-FR"/>
        </w:rPr>
        <w:br/>
        <w:t>IV. ― Le cinquième alinéa du m du 1° du I de l'article 31 du code général des impôts est supprimé.</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V. ― Les conventions conclues en application des articles </w:t>
      </w:r>
      <w:hyperlink r:id="rId506" w:history="1">
        <w:r w:rsidRPr="00874A27">
          <w:rPr>
            <w:rFonts w:ascii="Arial" w:eastAsia="Times New Roman" w:hAnsi="Arial" w:cs="Arial"/>
            <w:color w:val="336699"/>
            <w:sz w:val="19"/>
            <w:szCs w:val="19"/>
            <w:u w:val="single"/>
            <w:lang w:eastAsia="fr-FR"/>
          </w:rPr>
          <w:t>L. 301-5-1 </w:t>
        </w:r>
      </w:hyperlink>
      <w:r w:rsidRPr="00874A27">
        <w:rPr>
          <w:rFonts w:ascii="Arial" w:eastAsia="Times New Roman" w:hAnsi="Arial" w:cs="Arial"/>
          <w:color w:val="000000"/>
          <w:sz w:val="19"/>
          <w:szCs w:val="19"/>
          <w:lang w:eastAsia="fr-FR"/>
        </w:rPr>
        <w:t>et </w:t>
      </w:r>
      <w:hyperlink r:id="rId507" w:history="1">
        <w:r w:rsidRPr="00874A27">
          <w:rPr>
            <w:rFonts w:ascii="Arial" w:eastAsia="Times New Roman" w:hAnsi="Arial" w:cs="Arial"/>
            <w:color w:val="336699"/>
            <w:sz w:val="19"/>
            <w:szCs w:val="19"/>
            <w:u w:val="single"/>
            <w:lang w:eastAsia="fr-FR"/>
          </w:rPr>
          <w:t>L. 301-5-2 </w:t>
        </w:r>
      </w:hyperlink>
      <w:r w:rsidRPr="00874A27">
        <w:rPr>
          <w:rFonts w:ascii="Arial" w:eastAsia="Times New Roman" w:hAnsi="Arial" w:cs="Arial"/>
          <w:color w:val="000000"/>
          <w:sz w:val="19"/>
          <w:szCs w:val="19"/>
          <w:lang w:eastAsia="fr-FR"/>
        </w:rPr>
        <w:t>du code de la construction et l'habitation, dans leur rédaction antérieure à la promulgation de la présente loi, peuvent faire l'objet d'un avenant pour prendre en compte les articles L. 301-5-1, L. 301-5-1-1 et L. 301-5-2 du même code dans leur rédaction résultant de la présente loi.</w:t>
      </w:r>
      <w:r w:rsidRPr="00874A27">
        <w:rPr>
          <w:rFonts w:ascii="Arial" w:eastAsia="Times New Roman" w:hAnsi="Arial" w:cs="Arial"/>
          <w:color w:val="000000"/>
          <w:sz w:val="19"/>
          <w:szCs w:val="19"/>
          <w:lang w:eastAsia="fr-FR"/>
        </w:rPr>
        <w:br/>
        <w:t>VI. ― Jusqu'au 31 décembre 2016 et afin de prendre en compte les dispositions de la présente loi, les programmes locaux de l'habitat adoptés avant sa promulgation peuvent être adaptés selon la procédure de modification prévue à l'</w:t>
      </w:r>
      <w:hyperlink r:id="rId508" w:history="1">
        <w:r w:rsidRPr="00874A27">
          <w:rPr>
            <w:rFonts w:ascii="Arial" w:eastAsia="Times New Roman" w:hAnsi="Arial" w:cs="Arial"/>
            <w:color w:val="336699"/>
            <w:sz w:val="19"/>
            <w:szCs w:val="19"/>
            <w:u w:val="single"/>
            <w:lang w:eastAsia="fr-FR"/>
          </w:rPr>
          <w:t>article L. 302-4 du code de la construction </w:t>
        </w:r>
      </w:hyperlink>
      <w:r w:rsidRPr="00874A27">
        <w:rPr>
          <w:rFonts w:ascii="Arial" w:eastAsia="Times New Roman" w:hAnsi="Arial" w:cs="Arial"/>
          <w:color w:val="000000"/>
          <w:sz w:val="19"/>
          <w:szCs w:val="19"/>
          <w:lang w:eastAsia="fr-FR"/>
        </w:rPr>
        <w:t>de l'habitation.</w:t>
      </w:r>
    </w:p>
    <w:p w:rsidR="00874A27" w:rsidRPr="00874A27" w:rsidRDefault="00874A27" w:rsidP="00874A27">
      <w:pPr>
        <w:numPr>
          <w:ilvl w:val="1"/>
          <w:numId w:val="3"/>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V : Réformer la gouvernance de la participation des employeurs à l'effort de construction</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22" w:name="JORFARTI000028772916"/>
      <w:bookmarkEnd w:id="122"/>
      <w:r w:rsidRPr="00874A27">
        <w:rPr>
          <w:rFonts w:ascii="Arial" w:eastAsia="Times New Roman" w:hAnsi="Arial" w:cs="Arial"/>
          <w:b/>
          <w:bCs/>
          <w:color w:val="000000"/>
          <w:sz w:val="23"/>
          <w:szCs w:val="23"/>
          <w:lang w:eastAsia="fr-FR"/>
        </w:rPr>
        <w:t>Article 123 </w:t>
      </w:r>
      <w:hyperlink r:id="rId509" w:tooltip="En savoir plus sur l'article 12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Dans tous les textes législatifs et réglementaires en vigueur, les mots : « Union d'économie sociale du logement» sont remplacés par les mots : « Union des entreprises et des salariés pour le logement ».</w:t>
      </w:r>
      <w:r w:rsidRPr="00874A27">
        <w:rPr>
          <w:rFonts w:ascii="Arial" w:eastAsia="Times New Roman" w:hAnsi="Arial" w:cs="Arial"/>
          <w:color w:val="000000"/>
          <w:sz w:val="19"/>
          <w:szCs w:val="19"/>
          <w:lang w:eastAsia="fr-FR"/>
        </w:rPr>
        <w:br/>
        <w:t>II. ― Le code de la construction et de l'habitation est ainsi modifié :</w:t>
      </w:r>
      <w:r w:rsidRPr="00874A27">
        <w:rPr>
          <w:rFonts w:ascii="Arial" w:eastAsia="Times New Roman" w:hAnsi="Arial" w:cs="Arial"/>
          <w:color w:val="000000"/>
          <w:sz w:val="19"/>
          <w:szCs w:val="19"/>
          <w:lang w:eastAsia="fr-FR"/>
        </w:rPr>
        <w:br/>
        <w:t>1° L'article L. 313-3 est ainsi modifié :</w:t>
      </w:r>
      <w:r w:rsidRPr="00874A27">
        <w:rPr>
          <w:rFonts w:ascii="Arial" w:eastAsia="Times New Roman" w:hAnsi="Arial" w:cs="Arial"/>
          <w:color w:val="000000"/>
          <w:sz w:val="19"/>
          <w:szCs w:val="19"/>
          <w:lang w:eastAsia="fr-FR"/>
        </w:rPr>
        <w:br/>
        <w:t>a) Le premier alinéa est ainsi rédigé :</w:t>
      </w:r>
      <w:r w:rsidRPr="00874A27">
        <w:rPr>
          <w:rFonts w:ascii="Arial" w:eastAsia="Times New Roman" w:hAnsi="Arial" w:cs="Arial"/>
          <w:color w:val="000000"/>
          <w:sz w:val="19"/>
          <w:szCs w:val="19"/>
          <w:lang w:eastAsia="fr-FR"/>
        </w:rPr>
        <w:br/>
        <w:t>« Les ressources de la participation des employeurs à l'effort de construction sont composées des versements des employeurs, des remboursements du principal des prêts antérieurement consentis à l'aide de ressources issues de la participation des employeurs à l'effort de construction, des emprunts de l'Union des entreprises et des salariés pour le logement ainsi que, dans des conditions définies par décret en Conseil d'Etat, de l'affectation de tout ou partie du résultat des collecteurs agréés. Sont déduits de ces ressources les remboursements aux employeurs par les organismes collecteurs des versements au titre de la participation antérieurement réalisés sous forme de prêts, ainsi que le remboursement des emprunts à plus d'un an souscrits par l'union auprès d'un établissement de crédit ou assimilé. » ;</w:t>
      </w:r>
      <w:r w:rsidRPr="00874A27">
        <w:rPr>
          <w:rFonts w:ascii="Arial" w:eastAsia="Times New Roman" w:hAnsi="Arial" w:cs="Arial"/>
          <w:color w:val="000000"/>
          <w:sz w:val="19"/>
          <w:szCs w:val="19"/>
          <w:lang w:eastAsia="fr-FR"/>
        </w:rPr>
        <w:br/>
        <w:t>b) Le b est complété par les mots : « ou de logements destinés à l'accession sociale à la propriété » ;</w:t>
      </w:r>
      <w:r w:rsidRPr="00874A27">
        <w:rPr>
          <w:rFonts w:ascii="Arial" w:eastAsia="Times New Roman" w:hAnsi="Arial" w:cs="Arial"/>
          <w:color w:val="000000"/>
          <w:sz w:val="19"/>
          <w:szCs w:val="19"/>
          <w:lang w:eastAsia="fr-FR"/>
        </w:rPr>
        <w:br/>
        <w:t>c) Au f, après le mot : « réflexion », sont insérés les mots : « dans le domaine du logement et de la politique de la ville » et les mots : « associations agréées » sont remplacés par les mots : « organismes agréés » ;</w:t>
      </w:r>
      <w:r w:rsidRPr="00874A27">
        <w:rPr>
          <w:rFonts w:ascii="Arial" w:eastAsia="Times New Roman" w:hAnsi="Arial" w:cs="Arial"/>
          <w:color w:val="000000"/>
          <w:sz w:val="19"/>
          <w:szCs w:val="19"/>
          <w:lang w:eastAsia="fr-FR"/>
        </w:rPr>
        <w:br/>
        <w:t>d) Au début du dixième alinéa, les mots : « Ces interventions » sont remplacés par les mots : « Les interventions mentionnées aux a à g » ;</w:t>
      </w:r>
      <w:r w:rsidRPr="00874A27">
        <w:rPr>
          <w:rFonts w:ascii="Arial" w:eastAsia="Times New Roman" w:hAnsi="Arial" w:cs="Arial"/>
          <w:color w:val="000000"/>
          <w:sz w:val="19"/>
          <w:szCs w:val="19"/>
          <w:lang w:eastAsia="fr-FR"/>
        </w:rPr>
        <w:br/>
        <w:t>e) Au onzième alinéa, les mots : « ressources consacrées aux » sont remplacés par les mots : « interventions au titre des » ;</w:t>
      </w:r>
      <w:r w:rsidRPr="00874A27">
        <w:rPr>
          <w:rFonts w:ascii="Arial" w:eastAsia="Times New Roman" w:hAnsi="Arial" w:cs="Arial"/>
          <w:color w:val="000000"/>
          <w:sz w:val="19"/>
          <w:szCs w:val="19"/>
          <w:lang w:eastAsia="fr-FR"/>
        </w:rPr>
        <w:br/>
        <w:t>f) Les deux derniers alinéas sont remplacés par six alinéas ainsi rédigés :</w:t>
      </w:r>
      <w:r w:rsidRPr="00874A27">
        <w:rPr>
          <w:rFonts w:ascii="Arial" w:eastAsia="Times New Roman" w:hAnsi="Arial" w:cs="Arial"/>
          <w:color w:val="000000"/>
          <w:sz w:val="19"/>
          <w:szCs w:val="19"/>
          <w:lang w:eastAsia="fr-FR"/>
        </w:rPr>
        <w:br/>
        <w:t>« Une fraction des ressources mentionnées au premier alinéa du présent article ainsi que les produits financiers constatés sur les emplois de la participation des employeurs à l'effort de construction sont affectés au financement des investissements et des charges nécessaires au fonctionnement des organismes mentionnés au deuxième alinéa de l'article L. 313-18 et de l'Union des entreprises et des salariés pour le logement.</w:t>
      </w:r>
      <w:r w:rsidRPr="00874A27">
        <w:rPr>
          <w:rFonts w:ascii="Arial" w:eastAsia="Times New Roman" w:hAnsi="Arial" w:cs="Arial"/>
          <w:color w:val="000000"/>
          <w:sz w:val="19"/>
          <w:szCs w:val="19"/>
          <w:lang w:eastAsia="fr-FR"/>
        </w:rPr>
        <w:br/>
        <w:t>« La nature et les règles d'utilisation des emplois, les enveloppes minimales et maximales consacrées à chaque emploi ou catégorie d'emplois ainsi que le montant maximal annuel de la fraction des ressources et le montant maximal annuel affecté au financement des investissements et des charges nécessaires au fonctionnement des organismes mentionnés au douzième alinéa et de l'union sont fixés par convention conclue entre l'Etat et l'Union des entreprises et des salariés pour le logement. Cette convention fixe les grands axes de la répartition des enveloppes consacrées aux emplois sur les territoires. Elle est établie pour une durée de cinq ans. Elle est publiée au Journal officiel.</w:t>
      </w:r>
      <w:r w:rsidRPr="00874A27">
        <w:rPr>
          <w:rFonts w:ascii="Arial" w:eastAsia="Times New Roman" w:hAnsi="Arial" w:cs="Arial"/>
          <w:color w:val="000000"/>
          <w:sz w:val="19"/>
          <w:szCs w:val="19"/>
          <w:lang w:eastAsia="fr-FR"/>
        </w:rPr>
        <w:br/>
        <w:t>« La convention mentionnée au treizième alinéa détermine les modalités de règlement des différends relatifs à l'interprétation ou au respect de ses dispositions.</w:t>
      </w:r>
      <w:r w:rsidRPr="00874A27">
        <w:rPr>
          <w:rFonts w:ascii="Arial" w:eastAsia="Times New Roman" w:hAnsi="Arial" w:cs="Arial"/>
          <w:color w:val="000000"/>
          <w:sz w:val="19"/>
          <w:szCs w:val="19"/>
          <w:lang w:eastAsia="fr-FR"/>
        </w:rPr>
        <w:br/>
        <w:t>« Au cours de la troisième année d'application de la convention mentionnée au même alinéa, après évaluation de ses premières années d'application, une concertation est engagée entre l'Etat et l'union, relative aux dispositions prévues pour les deux dernières années d'application de la convention. Cette concertation peut donner lieu à un avenant à la convention.</w:t>
      </w:r>
      <w:r w:rsidRPr="00874A27">
        <w:rPr>
          <w:rFonts w:ascii="Arial" w:eastAsia="Times New Roman" w:hAnsi="Arial" w:cs="Arial"/>
          <w:color w:val="000000"/>
          <w:sz w:val="19"/>
          <w:szCs w:val="19"/>
          <w:lang w:eastAsia="fr-FR"/>
        </w:rPr>
        <w:br/>
        <w:t>« En l'absence de nouvelle convention, la nature et les règles d'utilisation des emplois prévues par la précédente convention demeurent applicables, ainsi que les enveloppes consacrées à chaque emploi ou catégorie d'emplois fixées par la précédente convention pour sa dernière année d'application.</w:t>
      </w:r>
      <w:r w:rsidRPr="00874A27">
        <w:rPr>
          <w:rFonts w:ascii="Arial" w:eastAsia="Times New Roman" w:hAnsi="Arial" w:cs="Arial"/>
          <w:color w:val="000000"/>
          <w:sz w:val="19"/>
          <w:szCs w:val="19"/>
          <w:lang w:eastAsia="fr-FR"/>
        </w:rPr>
        <w:br/>
        <w:t xml:space="preserve">« Le Parlement est informé des prévisions et de la répartition des ressources de la participation des employeurs à l'effort de construction entre chacune des catégories d'emplois ainsi que de l'état d'exécution de la convention mentionnée au présent article par un document de programmation </w:t>
      </w:r>
      <w:r w:rsidRPr="00874A27">
        <w:rPr>
          <w:rFonts w:ascii="Arial" w:eastAsia="Times New Roman" w:hAnsi="Arial" w:cs="Arial"/>
          <w:color w:val="000000"/>
          <w:sz w:val="19"/>
          <w:szCs w:val="19"/>
          <w:lang w:eastAsia="fr-FR"/>
        </w:rPr>
        <w:lastRenderedPageBreak/>
        <w:t>transmis au Parlement lors du dépôt des projets de loi de finances. Ce document est déposé sur le bureau des assemblées parlementaires et distribué au moins cinq jours francs avant l'examen, par l'Assemblée nationale, en première lecture, de l'article d'équilibre du projet de loi de finances de l'année. » ;</w:t>
      </w:r>
      <w:r w:rsidRPr="00874A27">
        <w:rPr>
          <w:rFonts w:ascii="Arial" w:eastAsia="Times New Roman" w:hAnsi="Arial" w:cs="Arial"/>
          <w:color w:val="000000"/>
          <w:sz w:val="19"/>
          <w:szCs w:val="19"/>
          <w:lang w:eastAsia="fr-FR"/>
        </w:rPr>
        <w:br/>
        <w:t>2° L'article L. 313-8 est ainsi modifié :</w:t>
      </w:r>
      <w:r w:rsidRPr="00874A27">
        <w:rPr>
          <w:rFonts w:ascii="Arial" w:eastAsia="Times New Roman" w:hAnsi="Arial" w:cs="Arial"/>
          <w:color w:val="000000"/>
          <w:sz w:val="19"/>
          <w:szCs w:val="19"/>
          <w:lang w:eastAsia="fr-FR"/>
        </w:rPr>
        <w:br/>
        <w:t>a) La référence : « et L. 612-3 » est remplacée par les références : «, L. 612-3 et L. 612-4 », les mots : « fixés par décret en Conseil d'Etat » sont supprimés et la référence : « et L. 612-2 » est remplacée par les références : « L. 612-1, L. 612-2 et L. 612-4 » ;</w:t>
      </w:r>
      <w:r w:rsidRPr="00874A27">
        <w:rPr>
          <w:rFonts w:ascii="Arial" w:eastAsia="Times New Roman" w:hAnsi="Arial" w:cs="Arial"/>
          <w:color w:val="000000"/>
          <w:sz w:val="19"/>
          <w:szCs w:val="19"/>
          <w:lang w:eastAsia="fr-FR"/>
        </w:rPr>
        <w:br/>
        <w:t>b) Sont ajoutés une phrase et un alinéa ainsi rédigés :</w:t>
      </w:r>
      <w:r w:rsidRPr="00874A27">
        <w:rPr>
          <w:rFonts w:ascii="Arial" w:eastAsia="Times New Roman" w:hAnsi="Arial" w:cs="Arial"/>
          <w:color w:val="000000"/>
          <w:sz w:val="19"/>
          <w:szCs w:val="19"/>
          <w:lang w:eastAsia="fr-FR"/>
        </w:rPr>
        <w:br/>
        <w:t>« Ces organismes établissent également un rapport de gestion de l'organisme publié dans les mêmes conditions que leurs comptes annuels.</w:t>
      </w:r>
      <w:r w:rsidRPr="00874A27">
        <w:rPr>
          <w:rFonts w:ascii="Arial" w:eastAsia="Times New Roman" w:hAnsi="Arial" w:cs="Arial"/>
          <w:color w:val="000000"/>
          <w:sz w:val="19"/>
          <w:szCs w:val="19"/>
          <w:lang w:eastAsia="fr-FR"/>
        </w:rPr>
        <w:br/>
        <w:t>« Ils établissent des comptes combinés, selon les règles définies par règlement de l'Autorité des normes comptables, publiés dans les mêmes conditions que leurs comptes annuels, ainsi qu'un rapport de gestion. » ;</w:t>
      </w:r>
      <w:r w:rsidRPr="00874A27">
        <w:rPr>
          <w:rFonts w:ascii="Arial" w:eastAsia="Times New Roman" w:hAnsi="Arial" w:cs="Arial"/>
          <w:color w:val="000000"/>
          <w:sz w:val="19"/>
          <w:szCs w:val="19"/>
          <w:lang w:eastAsia="fr-FR"/>
        </w:rPr>
        <w:br/>
        <w:t>3° L'article L. 313-14 est complété par un alinéa ainsi rédigé :</w:t>
      </w:r>
      <w:r w:rsidRPr="00874A27">
        <w:rPr>
          <w:rFonts w:ascii="Arial" w:eastAsia="Times New Roman" w:hAnsi="Arial" w:cs="Arial"/>
          <w:color w:val="000000"/>
          <w:sz w:val="19"/>
          <w:szCs w:val="19"/>
          <w:lang w:eastAsia="fr-FR"/>
        </w:rPr>
        <w:br/>
        <w:t>« L'agence en informe l'Union des entreprises et des salariés pour le logement. » ;</w:t>
      </w:r>
      <w:r w:rsidRPr="00874A27">
        <w:rPr>
          <w:rFonts w:ascii="Arial" w:eastAsia="Times New Roman" w:hAnsi="Arial" w:cs="Arial"/>
          <w:color w:val="000000"/>
          <w:sz w:val="19"/>
          <w:szCs w:val="19"/>
          <w:lang w:eastAsia="fr-FR"/>
        </w:rPr>
        <w:br/>
        <w:t>4° L'article L. 313-15 est ainsi modifié :</w:t>
      </w:r>
      <w:r w:rsidRPr="00874A27">
        <w:rPr>
          <w:rFonts w:ascii="Arial" w:eastAsia="Times New Roman" w:hAnsi="Arial" w:cs="Arial"/>
          <w:color w:val="000000"/>
          <w:sz w:val="19"/>
          <w:szCs w:val="19"/>
          <w:lang w:eastAsia="fr-FR"/>
        </w:rPr>
        <w:br/>
        <w:t>a) Au premier alinéa, le mot : « judiciaire » est remplacé par les mots : « pour quelque cause que ce soit, » et, après le mot : « liquidation », sont insérés les mots : « ou la situation active et passive ainsi que l'ensemble des droits et obligations de l'organisme » ;</w:t>
      </w:r>
      <w:r w:rsidRPr="00874A27">
        <w:rPr>
          <w:rFonts w:ascii="Arial" w:eastAsia="Times New Roman" w:hAnsi="Arial" w:cs="Arial"/>
          <w:color w:val="000000"/>
          <w:sz w:val="19"/>
          <w:szCs w:val="19"/>
          <w:lang w:eastAsia="fr-FR"/>
        </w:rPr>
        <w:br/>
        <w:t>b) Les deuxième et troisième alinéas sont remplacés par un alinéa ainsi rédigé :</w:t>
      </w:r>
      <w:r w:rsidRPr="00874A27">
        <w:rPr>
          <w:rFonts w:ascii="Arial" w:eastAsia="Times New Roman" w:hAnsi="Arial" w:cs="Arial"/>
          <w:color w:val="000000"/>
          <w:sz w:val="19"/>
          <w:szCs w:val="19"/>
          <w:lang w:eastAsia="fr-FR"/>
        </w:rPr>
        <w:br/>
        <w:t>« L'organisme mentionné au premier alinéa est désigné par le ministre chargé du logement, sur proposition de l'Union des entreprises et des salariés pour le logement formulée dans un délai d'un mois suivant la dissolution ou la liquidation et après avis de l'Agence nationale de contrôle du logement social. » ;</w:t>
      </w:r>
      <w:r w:rsidRPr="00874A27">
        <w:rPr>
          <w:rFonts w:ascii="Arial" w:eastAsia="Times New Roman" w:hAnsi="Arial" w:cs="Arial"/>
          <w:color w:val="000000"/>
          <w:sz w:val="19"/>
          <w:szCs w:val="19"/>
          <w:lang w:eastAsia="fr-FR"/>
        </w:rPr>
        <w:br/>
        <w:t>5° L'article L. 313-17 est complété par un alinéa ainsi rédigé :</w:t>
      </w:r>
      <w:r w:rsidRPr="00874A27">
        <w:rPr>
          <w:rFonts w:ascii="Arial" w:eastAsia="Times New Roman" w:hAnsi="Arial" w:cs="Arial"/>
          <w:color w:val="000000"/>
          <w:sz w:val="19"/>
          <w:szCs w:val="19"/>
          <w:lang w:eastAsia="fr-FR"/>
        </w:rPr>
        <w:br/>
        <w:t>« Ses statuts, approuvés par décret, prévoient qu'elle est administrée par un conseil d'administration ou par un directoire placé sous le contrôle d'un conseil de surveillance. » ;</w:t>
      </w:r>
      <w:r w:rsidRPr="00874A27">
        <w:rPr>
          <w:rFonts w:ascii="Arial" w:eastAsia="Times New Roman" w:hAnsi="Arial" w:cs="Arial"/>
          <w:color w:val="000000"/>
          <w:sz w:val="19"/>
          <w:szCs w:val="19"/>
          <w:lang w:eastAsia="fr-FR"/>
        </w:rPr>
        <w:br/>
        <w:t>6° Le troisième alinéa de l'article L. 313-18 est supprimé ;</w:t>
      </w:r>
      <w:r w:rsidRPr="00874A27">
        <w:rPr>
          <w:rFonts w:ascii="Arial" w:eastAsia="Times New Roman" w:hAnsi="Arial" w:cs="Arial"/>
          <w:color w:val="000000"/>
          <w:sz w:val="19"/>
          <w:szCs w:val="19"/>
          <w:lang w:eastAsia="fr-FR"/>
        </w:rPr>
        <w:br/>
        <w:t>7° L'article L. 313-19 est ainsi modifié :</w:t>
      </w:r>
      <w:r w:rsidRPr="00874A27">
        <w:rPr>
          <w:rFonts w:ascii="Arial" w:eastAsia="Times New Roman" w:hAnsi="Arial" w:cs="Arial"/>
          <w:color w:val="000000"/>
          <w:sz w:val="19"/>
          <w:szCs w:val="19"/>
          <w:lang w:eastAsia="fr-FR"/>
        </w:rPr>
        <w:br/>
        <w:t>a) Après le 2°, il est inséré un 2° bis ainsi rédigé :</w:t>
      </w:r>
      <w:r w:rsidRPr="00874A27">
        <w:rPr>
          <w:rFonts w:ascii="Arial" w:eastAsia="Times New Roman" w:hAnsi="Arial" w:cs="Arial"/>
          <w:color w:val="000000"/>
          <w:sz w:val="19"/>
          <w:szCs w:val="19"/>
          <w:lang w:eastAsia="fr-FR"/>
        </w:rPr>
        <w:br/>
        <w:t>« 2° bis. Conclut avec l'Etat la convention prévue à l'article L. 313-3. Cette convention s'impose à l'ensemble des associés collecteurs ; »</w:t>
      </w:r>
      <w:r w:rsidRPr="00874A27">
        <w:rPr>
          <w:rFonts w:ascii="Arial" w:eastAsia="Times New Roman" w:hAnsi="Arial" w:cs="Arial"/>
          <w:color w:val="000000"/>
          <w:sz w:val="19"/>
          <w:szCs w:val="19"/>
          <w:lang w:eastAsia="fr-FR"/>
        </w:rPr>
        <w:br/>
        <w:t>b) Au 3°, le mot : « nationales » est supprimé et les mots : « par les associés collecteurs » sont remplacés par les mots : « notamment pour la mise en œuvre de la convention mentionnée au 2° bis par les associés collecteurs et leurs filiales » ;</w:t>
      </w:r>
      <w:r w:rsidRPr="00874A27">
        <w:rPr>
          <w:rFonts w:ascii="Arial" w:eastAsia="Times New Roman" w:hAnsi="Arial" w:cs="Arial"/>
          <w:color w:val="000000"/>
          <w:sz w:val="19"/>
          <w:szCs w:val="19"/>
          <w:lang w:eastAsia="fr-FR"/>
        </w:rPr>
        <w:br/>
        <w:t>c) Le 3° est complété par deux alinéas ainsi rédigés :</w:t>
      </w:r>
      <w:r w:rsidRPr="00874A27">
        <w:rPr>
          <w:rFonts w:ascii="Arial" w:eastAsia="Times New Roman" w:hAnsi="Arial" w:cs="Arial"/>
          <w:color w:val="000000"/>
          <w:sz w:val="19"/>
          <w:szCs w:val="19"/>
          <w:lang w:eastAsia="fr-FR"/>
        </w:rPr>
        <w:br/>
        <w:t>« A cet effet, l'union fixe aux associés collecteurs des objectifs par emploi ou catégorie d'emplois pour la mise en œuvre de la convention mentionnée à l'article L. 313-3 ainsi que des engagements pris avec des collectivités territoriales et tout autre organisme.</w:t>
      </w:r>
      <w:r w:rsidRPr="00874A27">
        <w:rPr>
          <w:rFonts w:ascii="Arial" w:eastAsia="Times New Roman" w:hAnsi="Arial" w:cs="Arial"/>
          <w:color w:val="000000"/>
          <w:sz w:val="19"/>
          <w:szCs w:val="19"/>
          <w:lang w:eastAsia="fr-FR"/>
        </w:rPr>
        <w:br/>
        <w:t>« L'union peut exiger des associés collecteurs qui ne respectent pas ces objectifs, après que l'associé collecteur a été mis en mesure de présenter ses observations, le versement d'une contribution au fonds d'intervention mentionné au III de l'article L. 313-20, jusqu'à concurrence des ressources non employées ; »</w:t>
      </w:r>
      <w:r w:rsidRPr="00874A27">
        <w:rPr>
          <w:rFonts w:ascii="Arial" w:eastAsia="Times New Roman" w:hAnsi="Arial" w:cs="Arial"/>
          <w:color w:val="000000"/>
          <w:sz w:val="19"/>
          <w:szCs w:val="19"/>
          <w:lang w:eastAsia="fr-FR"/>
        </w:rPr>
        <w:br/>
        <w:t>d) Au deuxième alinéa du 5°, la référence : « à l'article L. 422-2 » est remplacée par les références : « aux articles L. 422-2, L. 422-3 et L. 481-1 » ;</w:t>
      </w:r>
      <w:r w:rsidRPr="00874A27">
        <w:rPr>
          <w:rFonts w:ascii="Arial" w:eastAsia="Times New Roman" w:hAnsi="Arial" w:cs="Arial"/>
          <w:color w:val="000000"/>
          <w:sz w:val="19"/>
          <w:szCs w:val="19"/>
          <w:lang w:eastAsia="fr-FR"/>
        </w:rPr>
        <w:br/>
        <w:t>e) Le dernier alinéa du 5° est remplacé par deux alinéas ainsi rédigés :</w:t>
      </w:r>
      <w:r w:rsidRPr="00874A27">
        <w:rPr>
          <w:rFonts w:ascii="Arial" w:eastAsia="Times New Roman" w:hAnsi="Arial" w:cs="Arial"/>
          <w:color w:val="000000"/>
          <w:sz w:val="19"/>
          <w:szCs w:val="19"/>
          <w:lang w:eastAsia="fr-FR"/>
        </w:rPr>
        <w:br/>
        <w:t>« ― assurer le respect des principes qu'elle fixe en matière de déontologie et de rémunération des dirigeants dans les organismes contrôlés par les organismes collecteurs ou par elle-même, ainsi que dans les groupements d'intérêt économique ou toute autre structure de coopération comprenant l'union ou un organisme collecteur agréé mentionné au deuxième alinéa de l'article L. 313-18 ;</w:t>
      </w:r>
      <w:r w:rsidRPr="00874A27">
        <w:rPr>
          <w:rFonts w:ascii="Arial" w:eastAsia="Times New Roman" w:hAnsi="Arial" w:cs="Arial"/>
          <w:color w:val="000000"/>
          <w:sz w:val="19"/>
          <w:szCs w:val="19"/>
          <w:lang w:eastAsia="fr-FR"/>
        </w:rPr>
        <w:br/>
        <w:t>« ― l'équilibre entre les ressources et les emplois et la liquidité des organismes collecteurs mentionnés au deuxième alinéa de l'article L. 313-18 et des fonds mentionnés à l'article L. 313-20 ; »</w:t>
      </w:r>
      <w:r w:rsidRPr="00874A27">
        <w:rPr>
          <w:rFonts w:ascii="Arial" w:eastAsia="Times New Roman" w:hAnsi="Arial" w:cs="Arial"/>
          <w:color w:val="000000"/>
          <w:sz w:val="19"/>
          <w:szCs w:val="19"/>
          <w:lang w:eastAsia="fr-FR"/>
        </w:rPr>
        <w:br/>
        <w:t>f) Le dernier alinéa du 6° est remplacé par quatre alinéas ainsi rédigés :</w:t>
      </w:r>
      <w:r w:rsidRPr="00874A27">
        <w:rPr>
          <w:rFonts w:ascii="Arial" w:eastAsia="Times New Roman" w:hAnsi="Arial" w:cs="Arial"/>
          <w:color w:val="000000"/>
          <w:sz w:val="19"/>
          <w:szCs w:val="19"/>
          <w:lang w:eastAsia="fr-FR"/>
        </w:rPr>
        <w:br/>
        <w:t>« ― le suivi et l'évaluation de la gestion et l'amélioration de la performance des associés collecteurs et de leurs filiales, à l'exception de celles d'entre ces sociétés qui ont le statut d'organisme d'habitations à loyer modéré ainsi que des groupements d'intérêt économique ou de toute autre structure de coopération comprenant l'union ou un organisme collecteur agréé mentionné au deuxième alinéa de l'article L. 313-18 ;</w:t>
      </w:r>
      <w:r w:rsidRPr="00874A27">
        <w:rPr>
          <w:rFonts w:ascii="Arial" w:eastAsia="Times New Roman" w:hAnsi="Arial" w:cs="Arial"/>
          <w:color w:val="000000"/>
          <w:sz w:val="19"/>
          <w:szCs w:val="19"/>
          <w:lang w:eastAsia="fr-FR"/>
        </w:rPr>
        <w:br/>
        <w:t>« ― l'animation de la politique de gestion des risques des associés collecteurs, des associations mentionnées aux articles L. 313-33 et L. 313-34 et des filiales des associés collecteurs, à l'exception de celles d'entre ces sociétés qui ont le statut d'organisme d'habitations à loyer modéré ainsi que des groupements d'intérêt économique ou de toute autre structure de coopération comprenant l'union ou un organisme collecteur agréé mentionné au deuxième alinéa de l'article L. 313-18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 la cohérence des interventions et de l'organisation territoriale des associés collecteurs et de leurs filiales. A cette fin, l'union approuve les fusions entre les organismes collecteurs mentionnés au deuxième alinéa de l'article L. 313-18 ;</w:t>
      </w:r>
      <w:r w:rsidRPr="00874A27">
        <w:rPr>
          <w:rFonts w:ascii="Arial" w:eastAsia="Times New Roman" w:hAnsi="Arial" w:cs="Arial"/>
          <w:color w:val="000000"/>
          <w:sz w:val="19"/>
          <w:szCs w:val="19"/>
          <w:lang w:eastAsia="fr-FR"/>
        </w:rPr>
        <w:br/>
        <w:t>« ― l'animation du réseau des organismes collecteurs associés dont elle assure à ce titre un suivi financier et comptable ; »</w:t>
      </w:r>
      <w:r w:rsidRPr="00874A27">
        <w:rPr>
          <w:rFonts w:ascii="Arial" w:eastAsia="Times New Roman" w:hAnsi="Arial" w:cs="Arial"/>
          <w:color w:val="000000"/>
          <w:sz w:val="19"/>
          <w:szCs w:val="19"/>
          <w:lang w:eastAsia="fr-FR"/>
        </w:rPr>
        <w:br/>
        <w:t>g) Le 7° est ainsi rédigé :</w:t>
      </w:r>
      <w:r w:rsidRPr="00874A27">
        <w:rPr>
          <w:rFonts w:ascii="Arial" w:eastAsia="Times New Roman" w:hAnsi="Arial" w:cs="Arial"/>
          <w:color w:val="000000"/>
          <w:sz w:val="19"/>
          <w:szCs w:val="19"/>
          <w:lang w:eastAsia="fr-FR"/>
        </w:rPr>
        <w:br/>
        <w:t>« 7° Elabore, dans l'intérêt commun et pour la mise en œuvre de ses missions définies au présent article, des directives.</w:t>
      </w:r>
      <w:r w:rsidRPr="00874A27">
        <w:rPr>
          <w:rFonts w:ascii="Arial" w:eastAsia="Times New Roman" w:hAnsi="Arial" w:cs="Arial"/>
          <w:color w:val="000000"/>
          <w:sz w:val="19"/>
          <w:szCs w:val="19"/>
          <w:lang w:eastAsia="fr-FR"/>
        </w:rPr>
        <w:br/>
        <w:t>« Les directives s'imposent aux associés collecteurs et, lorsqu'elles sont élaborées aux fins mentionnées aux 3°, 5° et 6°, à leurs filiales, y compris celles d'entre ces sociétés qui ont le statut d'organisme d'habitations à loyer modéré. Elles s'imposent aux organismes mentionnés à l'avant-dernier alinéa du 5° dans le champ qui y est défini. Les organismes collecteurs mentionnés au deuxième alinéa de l'article L. 313-18 veillent à l'application, par leurs filiales et par les organismes mentionnés à l'avant-dernier alinéa du 5° du présent article, des directives en tant que ces filiales et organismes sont concernés.</w:t>
      </w:r>
      <w:r w:rsidRPr="00874A27">
        <w:rPr>
          <w:rFonts w:ascii="Arial" w:eastAsia="Times New Roman" w:hAnsi="Arial" w:cs="Arial"/>
          <w:color w:val="000000"/>
          <w:sz w:val="19"/>
          <w:szCs w:val="19"/>
          <w:lang w:eastAsia="fr-FR"/>
        </w:rPr>
        <w:br/>
        <w:t>« Les missions mentionnées au 3°, aux deux derniers alinéas du 5° et aux sixième et avant-dernier alinéas du 6° du présent article donnent obligatoirement lieu à une directive ; »</w:t>
      </w:r>
      <w:r w:rsidRPr="00874A27">
        <w:rPr>
          <w:rFonts w:ascii="Arial" w:eastAsia="Times New Roman" w:hAnsi="Arial" w:cs="Arial"/>
          <w:color w:val="000000"/>
          <w:sz w:val="19"/>
          <w:szCs w:val="19"/>
          <w:lang w:eastAsia="fr-FR"/>
        </w:rPr>
        <w:br/>
        <w:t>h) Le 8° est ainsi modifié :</w:t>
      </w:r>
      <w:r w:rsidRPr="00874A27">
        <w:rPr>
          <w:rFonts w:ascii="Arial" w:eastAsia="Times New Roman" w:hAnsi="Arial" w:cs="Arial"/>
          <w:color w:val="000000"/>
          <w:sz w:val="19"/>
          <w:szCs w:val="19"/>
          <w:lang w:eastAsia="fr-FR"/>
        </w:rPr>
        <w:br/>
        <w:t>― au premier alinéa, le mot : « nationales » est supprimé ;</w:t>
      </w:r>
      <w:r w:rsidRPr="00874A27">
        <w:rPr>
          <w:rFonts w:ascii="Arial" w:eastAsia="Times New Roman" w:hAnsi="Arial" w:cs="Arial"/>
          <w:color w:val="000000"/>
          <w:sz w:val="19"/>
          <w:szCs w:val="19"/>
          <w:lang w:eastAsia="fr-FR"/>
        </w:rPr>
        <w:br/>
        <w:t>― il est ajouté un alinéa ainsi rédigé :</w:t>
      </w:r>
      <w:r w:rsidRPr="00874A27">
        <w:rPr>
          <w:rFonts w:ascii="Arial" w:eastAsia="Times New Roman" w:hAnsi="Arial" w:cs="Arial"/>
          <w:color w:val="000000"/>
          <w:sz w:val="19"/>
          <w:szCs w:val="19"/>
          <w:lang w:eastAsia="fr-FR"/>
        </w:rPr>
        <w:br/>
        <w:t>« L'union peut saisir l'Agence nationale de contrôle du logement social des manquements des associés collecteurs aux directives mentionnées au 7° ; »</w:t>
      </w:r>
      <w:r w:rsidRPr="00874A27">
        <w:rPr>
          <w:rFonts w:ascii="Arial" w:eastAsia="Times New Roman" w:hAnsi="Arial" w:cs="Arial"/>
          <w:color w:val="000000"/>
          <w:sz w:val="19"/>
          <w:szCs w:val="19"/>
          <w:lang w:eastAsia="fr-FR"/>
        </w:rPr>
        <w:br/>
        <w:t>i) Après le 9°, sont insérés des 10° à 13° ainsi rédigés :</w:t>
      </w:r>
      <w:r w:rsidRPr="00874A27">
        <w:rPr>
          <w:rFonts w:ascii="Arial" w:eastAsia="Times New Roman" w:hAnsi="Arial" w:cs="Arial"/>
          <w:color w:val="000000"/>
          <w:sz w:val="19"/>
          <w:szCs w:val="19"/>
          <w:lang w:eastAsia="fr-FR"/>
        </w:rPr>
        <w:br/>
        <w:t>« 10° Peut, pour la gestion des intérêts communs aux associés collecteurs, dans les limites fixées par ses statuts et lorsque l'intervention d'un ou plusieurs organismes collecteurs ne permettrait pas d'atteindre les fins recherchées dans les mêmes conditions, à partir des ressources définies à l'article L. 313-3, constituer et participer à des structures de coopération et acquérir ou céder des titres de sociétés, à l'exception des sociétés ayant le statut d'organisme d'habitations à loyer modéré ;</w:t>
      </w:r>
      <w:r w:rsidRPr="00874A27">
        <w:rPr>
          <w:rFonts w:ascii="Arial" w:eastAsia="Times New Roman" w:hAnsi="Arial" w:cs="Arial"/>
          <w:color w:val="000000"/>
          <w:sz w:val="19"/>
          <w:szCs w:val="19"/>
          <w:lang w:eastAsia="fr-FR"/>
        </w:rPr>
        <w:br/>
        <w:t>« 11° Peut procéder à des opérations de trésorerie avec les associés collecteurs et les associations mentionnées aux articles L. 313-33 et L. 313-34 ;</w:t>
      </w:r>
      <w:r w:rsidRPr="00874A27">
        <w:rPr>
          <w:rFonts w:ascii="Arial" w:eastAsia="Times New Roman" w:hAnsi="Arial" w:cs="Arial"/>
          <w:color w:val="000000"/>
          <w:sz w:val="19"/>
          <w:szCs w:val="19"/>
          <w:lang w:eastAsia="fr-FR"/>
        </w:rPr>
        <w:br/>
        <w:t>« 12° Etablit et publie, selon les règles définies par règlement de l'Autorité des normes comptables, des comptes combinés de l'ensemble constitué par l'union, les associations mentionnées aux articles L. 313-33 et L. 313-34 et les organismes collecteurs mentionnés au deuxième alinéa de l'article L. 313-18.</w:t>
      </w:r>
      <w:r w:rsidRPr="00874A27">
        <w:rPr>
          <w:rFonts w:ascii="Arial" w:eastAsia="Times New Roman" w:hAnsi="Arial" w:cs="Arial"/>
          <w:color w:val="000000"/>
          <w:sz w:val="19"/>
          <w:szCs w:val="19"/>
          <w:lang w:eastAsia="fr-FR"/>
        </w:rPr>
        <w:br/>
        <w:t>« Sont également établis et publiés le rapport des commissaires aux comptes ainsi qu'un rapport sur la gestion de l'ensemble formé par l'union et les entités mentionnées au premier alinéa du présent 12° ;</w:t>
      </w:r>
      <w:r w:rsidRPr="00874A27">
        <w:rPr>
          <w:rFonts w:ascii="Arial" w:eastAsia="Times New Roman" w:hAnsi="Arial" w:cs="Arial"/>
          <w:color w:val="000000"/>
          <w:sz w:val="19"/>
          <w:szCs w:val="19"/>
          <w:lang w:eastAsia="fr-FR"/>
        </w:rPr>
        <w:br/>
        <w:t>« 13° Peut, en cas de non-respect caractérisé d'une de ses directives ou d'un de ses avis pris en application, respectivement, des 7° et 8°, ainsi que des objectifs fixés en application du 3°, exiger de ses associés collecteurs la révocation de leurs directeurs généraux, dans les conditions prévues par ses statuts. » ;</w:t>
      </w:r>
      <w:r w:rsidRPr="00874A27">
        <w:rPr>
          <w:rFonts w:ascii="Arial" w:eastAsia="Times New Roman" w:hAnsi="Arial" w:cs="Arial"/>
          <w:color w:val="000000"/>
          <w:sz w:val="19"/>
          <w:szCs w:val="19"/>
          <w:lang w:eastAsia="fr-FR"/>
        </w:rPr>
        <w:br/>
        <w:t>j) Le dernier alinéa est supprimé ;</w:t>
      </w:r>
      <w:r w:rsidRPr="00874A27">
        <w:rPr>
          <w:rFonts w:ascii="Arial" w:eastAsia="Times New Roman" w:hAnsi="Arial" w:cs="Arial"/>
          <w:color w:val="000000"/>
          <w:sz w:val="19"/>
          <w:szCs w:val="19"/>
          <w:lang w:eastAsia="fr-FR"/>
        </w:rPr>
        <w:br/>
        <w:t>8° L'article L. 313-20 est ainsi modifié :</w:t>
      </w:r>
      <w:r w:rsidRPr="00874A27">
        <w:rPr>
          <w:rFonts w:ascii="Arial" w:eastAsia="Times New Roman" w:hAnsi="Arial" w:cs="Arial"/>
          <w:color w:val="000000"/>
          <w:sz w:val="19"/>
          <w:szCs w:val="19"/>
          <w:lang w:eastAsia="fr-FR"/>
        </w:rPr>
        <w:br/>
        <w:t>a) Le V est ainsi modifié :</w:t>
      </w:r>
      <w:r w:rsidRPr="00874A27">
        <w:rPr>
          <w:rFonts w:ascii="Arial" w:eastAsia="Times New Roman" w:hAnsi="Arial" w:cs="Arial"/>
          <w:color w:val="000000"/>
          <w:sz w:val="19"/>
          <w:szCs w:val="19"/>
          <w:lang w:eastAsia="fr-FR"/>
        </w:rPr>
        <w:br/>
        <w:t>― à la première phrase du deuxième alinéa, après le mot : « contribution », sont insérés les mots : «, le cas échéant sans contrepartie, » ;</w:t>
      </w:r>
      <w:r w:rsidRPr="00874A27">
        <w:rPr>
          <w:rFonts w:ascii="Arial" w:eastAsia="Times New Roman" w:hAnsi="Arial" w:cs="Arial"/>
          <w:color w:val="000000"/>
          <w:sz w:val="19"/>
          <w:szCs w:val="19"/>
          <w:lang w:eastAsia="fr-FR"/>
        </w:rPr>
        <w:br/>
        <w:t>― au quatrième alinéa, après le mot : « transferts », sont insérés les mots : « ou nantissements » ;</w:t>
      </w:r>
      <w:r w:rsidRPr="00874A27">
        <w:rPr>
          <w:rFonts w:ascii="Arial" w:eastAsia="Times New Roman" w:hAnsi="Arial" w:cs="Arial"/>
          <w:color w:val="000000"/>
          <w:sz w:val="19"/>
          <w:szCs w:val="19"/>
          <w:lang w:eastAsia="fr-FR"/>
        </w:rPr>
        <w:br/>
        <w:t>― après le sixième alinéa, il est inséré un alinéa ainsi rédigé :</w:t>
      </w:r>
      <w:r w:rsidRPr="00874A27">
        <w:rPr>
          <w:rFonts w:ascii="Arial" w:eastAsia="Times New Roman" w:hAnsi="Arial" w:cs="Arial"/>
          <w:color w:val="000000"/>
          <w:sz w:val="19"/>
          <w:szCs w:val="19"/>
          <w:lang w:eastAsia="fr-FR"/>
        </w:rPr>
        <w:br/>
        <w:t>« Lorsque l'union contracte un emprunt à plus d'un an, celle-ci et les organismes collecteurs agréés mentionnés au deuxième alinéa de l'article L. 313-18 sont solidairement tenus à son remboursement. » ;</w:t>
      </w:r>
      <w:r w:rsidRPr="00874A27">
        <w:rPr>
          <w:rFonts w:ascii="Arial" w:eastAsia="Times New Roman" w:hAnsi="Arial" w:cs="Arial"/>
          <w:color w:val="000000"/>
          <w:sz w:val="19"/>
          <w:szCs w:val="19"/>
          <w:lang w:eastAsia="fr-FR"/>
        </w:rPr>
        <w:br/>
        <w:t>b) Au VI, après le mot : « fonctionnement », sont insérés les mots : « du fonds d'intervention, » ;</w:t>
      </w:r>
      <w:r w:rsidRPr="00874A27">
        <w:rPr>
          <w:rFonts w:ascii="Arial" w:eastAsia="Times New Roman" w:hAnsi="Arial" w:cs="Arial"/>
          <w:color w:val="000000"/>
          <w:sz w:val="19"/>
          <w:szCs w:val="19"/>
          <w:lang w:eastAsia="fr-FR"/>
        </w:rPr>
        <w:br/>
        <w:t>c) Il est ajouté un VII ainsi rédigé :</w:t>
      </w:r>
      <w:r w:rsidRPr="00874A27">
        <w:rPr>
          <w:rFonts w:ascii="Arial" w:eastAsia="Times New Roman" w:hAnsi="Arial" w:cs="Arial"/>
          <w:color w:val="000000"/>
          <w:sz w:val="19"/>
          <w:szCs w:val="19"/>
          <w:lang w:eastAsia="fr-FR"/>
        </w:rPr>
        <w:br/>
        <w:t>« VII. ― Les créances de toute nature constituées avec des fonds issus de la participation des employeurs à l'effort de construction et détenues par les associés collecteurs de l'union peuvent être cédées ou données en nantissement à un établissement de crédit ou assimilé ou à l'union par la seule remise du bordereau prévu à l'</w:t>
      </w:r>
      <w:hyperlink r:id="rId510" w:history="1">
        <w:r w:rsidRPr="00874A27">
          <w:rPr>
            <w:rFonts w:ascii="Arial" w:eastAsia="Times New Roman" w:hAnsi="Arial" w:cs="Arial"/>
            <w:color w:val="336699"/>
            <w:sz w:val="19"/>
            <w:szCs w:val="19"/>
            <w:u w:val="single"/>
            <w:lang w:eastAsia="fr-FR"/>
          </w:rPr>
          <w:t>article L. 313-23 du code monétaire et financier</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Les créances cédées ou données en nantissement à l'union dans les conditions prévues au premier alinéa du présent VII peuvent être cédées ou données en nantissement par l'union à un établissement de crédit ou assimilé par la seule remise du bordereau prévu au même article L. 313-23.</w:t>
      </w:r>
      <w:r w:rsidRPr="00874A27">
        <w:rPr>
          <w:rFonts w:ascii="Arial" w:eastAsia="Times New Roman" w:hAnsi="Arial" w:cs="Arial"/>
          <w:color w:val="000000"/>
          <w:sz w:val="19"/>
          <w:szCs w:val="19"/>
          <w:lang w:eastAsia="fr-FR"/>
        </w:rPr>
        <w:br/>
        <w:t>« Ces cessions ou nantissements sont soumis aux obligations prévues aux articles L. 313-23 à L. 313-29 du même code, à l'exception de celles mentionnées au premier alinéa de l'article L. 313-23 dudit code.</w:t>
      </w:r>
      <w:r w:rsidRPr="00874A27">
        <w:rPr>
          <w:rFonts w:ascii="Arial" w:eastAsia="Times New Roman" w:hAnsi="Arial" w:cs="Arial"/>
          <w:color w:val="000000"/>
          <w:sz w:val="19"/>
          <w:szCs w:val="19"/>
          <w:lang w:eastAsia="fr-FR"/>
        </w:rPr>
        <w:br/>
        <w:t>« Les cessions ou nantissements de créances des associés collecteurs à l'union peuvent ne pas faire l'objet de contreparties. » ;</w:t>
      </w:r>
      <w:r w:rsidRPr="00874A27">
        <w:rPr>
          <w:rFonts w:ascii="Arial" w:eastAsia="Times New Roman" w:hAnsi="Arial" w:cs="Arial"/>
          <w:color w:val="000000"/>
          <w:sz w:val="19"/>
          <w:szCs w:val="19"/>
          <w:lang w:eastAsia="fr-FR"/>
        </w:rPr>
        <w:br/>
        <w:t>9° L'article L. 313-21 est ainsi modifié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a) Le premier alinéa est remplacé par trois alinéas ainsi rédigés :</w:t>
      </w:r>
      <w:r w:rsidRPr="00874A27">
        <w:rPr>
          <w:rFonts w:ascii="Arial" w:eastAsia="Times New Roman" w:hAnsi="Arial" w:cs="Arial"/>
          <w:color w:val="000000"/>
          <w:sz w:val="19"/>
          <w:szCs w:val="19"/>
          <w:lang w:eastAsia="fr-FR"/>
        </w:rPr>
        <w:br/>
        <w:t>« Le conseil de surveillance ou le conseil d'administration de l'union arrête les directives mentionnées à l'article L. 313-19 et les avis de l'union prévus par la loi ou la réglementation. Il autorise le recours à l'emprunt.</w:t>
      </w:r>
      <w:r w:rsidRPr="00874A27">
        <w:rPr>
          <w:rFonts w:ascii="Arial" w:eastAsia="Times New Roman" w:hAnsi="Arial" w:cs="Arial"/>
          <w:color w:val="000000"/>
          <w:sz w:val="19"/>
          <w:szCs w:val="19"/>
          <w:lang w:eastAsia="fr-FR"/>
        </w:rPr>
        <w:br/>
        <w:t>« Lorsque l'union est administrée par un directoire placé sous le contrôle d'un conseil de surveillance, ce dernier détermine les orientations de l'activité de l'union et veille à leur mise en œuvre. Il se saisit de toute question intéressant la bonne marche de l'union et règle par ses délibérations les affaires qui la concernent. Le directoire est chargé de la mise en œuvre des délibérations prises par le conseil de surveillance. Il rend compte de son activité à chaque réunion du conseil de surveillance.</w:t>
      </w:r>
      <w:r w:rsidRPr="00874A27">
        <w:rPr>
          <w:rFonts w:ascii="Arial" w:eastAsia="Times New Roman" w:hAnsi="Arial" w:cs="Arial"/>
          <w:color w:val="000000"/>
          <w:sz w:val="19"/>
          <w:szCs w:val="19"/>
          <w:lang w:eastAsia="fr-FR"/>
        </w:rPr>
        <w:br/>
        <w:t>« Lorsque l'union est administrée par un conseil d'administration, les fonctions de président sont incompatibles avec les fonctions de directeur général. » ;</w:t>
      </w:r>
      <w:r w:rsidRPr="00874A27">
        <w:rPr>
          <w:rFonts w:ascii="Arial" w:eastAsia="Times New Roman" w:hAnsi="Arial" w:cs="Arial"/>
          <w:color w:val="000000"/>
          <w:sz w:val="19"/>
          <w:szCs w:val="19"/>
          <w:lang w:eastAsia="fr-FR"/>
        </w:rPr>
        <w:br/>
        <w:t>b) Aux première et troisième phrases du deuxième alinéa, après le mot : « surveillance », sont insérés les mots : « ou le conseil d'administration » ;</w:t>
      </w:r>
      <w:r w:rsidRPr="00874A27">
        <w:rPr>
          <w:rFonts w:ascii="Arial" w:eastAsia="Times New Roman" w:hAnsi="Arial" w:cs="Arial"/>
          <w:color w:val="000000"/>
          <w:sz w:val="19"/>
          <w:szCs w:val="19"/>
          <w:lang w:eastAsia="fr-FR"/>
        </w:rPr>
        <w:br/>
        <w:t>c) Le dernier alinéa est supprimé ;</w:t>
      </w:r>
      <w:r w:rsidRPr="00874A27">
        <w:rPr>
          <w:rFonts w:ascii="Arial" w:eastAsia="Times New Roman" w:hAnsi="Arial" w:cs="Arial"/>
          <w:color w:val="000000"/>
          <w:sz w:val="19"/>
          <w:szCs w:val="19"/>
          <w:lang w:eastAsia="fr-FR"/>
        </w:rPr>
        <w:br/>
        <w:t>10° L'article L. 313-22 est ainsi modifié :</w:t>
      </w:r>
      <w:r w:rsidRPr="00874A27">
        <w:rPr>
          <w:rFonts w:ascii="Arial" w:eastAsia="Times New Roman" w:hAnsi="Arial" w:cs="Arial"/>
          <w:color w:val="000000"/>
          <w:sz w:val="19"/>
          <w:szCs w:val="19"/>
          <w:lang w:eastAsia="fr-FR"/>
        </w:rPr>
        <w:br/>
        <w:t>a) Le premier alinéa est ainsi rédigé :</w:t>
      </w:r>
      <w:r w:rsidRPr="00874A27">
        <w:rPr>
          <w:rFonts w:ascii="Arial" w:eastAsia="Times New Roman" w:hAnsi="Arial" w:cs="Arial"/>
          <w:color w:val="000000"/>
          <w:sz w:val="19"/>
          <w:szCs w:val="19"/>
          <w:lang w:eastAsia="fr-FR"/>
        </w:rPr>
        <w:br/>
        <w:t>« Le budget et les comptes annuels de l'Union des entreprises et des salariés pour le logement ainsi que les comptes combinés établis en application de l'article L. 313-19 sont arrêtés par le conseil de surveillance ou le conseil d'administration. » ;</w:t>
      </w:r>
      <w:r w:rsidRPr="00874A27">
        <w:rPr>
          <w:rFonts w:ascii="Arial" w:eastAsia="Times New Roman" w:hAnsi="Arial" w:cs="Arial"/>
          <w:color w:val="000000"/>
          <w:sz w:val="19"/>
          <w:szCs w:val="19"/>
          <w:lang w:eastAsia="fr-FR"/>
        </w:rPr>
        <w:br/>
        <w:t>b) Au second alinéa, après le mot : « surveillance », sont insérés les mots : « ou au conseil d'administration » ;</w:t>
      </w:r>
      <w:r w:rsidRPr="00874A27">
        <w:rPr>
          <w:rFonts w:ascii="Arial" w:eastAsia="Times New Roman" w:hAnsi="Arial" w:cs="Arial"/>
          <w:color w:val="000000"/>
          <w:sz w:val="19"/>
          <w:szCs w:val="19"/>
          <w:lang w:eastAsia="fr-FR"/>
        </w:rPr>
        <w:br/>
        <w:t>c) Sont ajoutés trois alinéas ainsi rédigés :</w:t>
      </w:r>
      <w:r w:rsidRPr="00874A27">
        <w:rPr>
          <w:rFonts w:ascii="Arial" w:eastAsia="Times New Roman" w:hAnsi="Arial" w:cs="Arial"/>
          <w:color w:val="000000"/>
          <w:sz w:val="19"/>
          <w:szCs w:val="19"/>
          <w:lang w:eastAsia="fr-FR"/>
        </w:rPr>
        <w:br/>
        <w:t>« Le cadrage financier qui détermine les orientations de l'utilisation des ressources de la participation des employeurs à l'effort de construction par les associés collecteurs est présenté chaque année au conseil de surveillance ou au conseil d'administration.</w:t>
      </w:r>
      <w:r w:rsidRPr="00874A27">
        <w:rPr>
          <w:rFonts w:ascii="Arial" w:eastAsia="Times New Roman" w:hAnsi="Arial" w:cs="Arial"/>
          <w:color w:val="000000"/>
          <w:sz w:val="19"/>
          <w:szCs w:val="19"/>
          <w:lang w:eastAsia="fr-FR"/>
        </w:rPr>
        <w:br/>
        <w:t>« L'état d'exécution de la convention mentionnée à l'article L. 313-3 est présenté chaque semestre au conseil de surveillance ou au conseil d'administration. Cette présentation porte notamment sur le montant des ressources consacrées à chaque emploi.</w:t>
      </w:r>
      <w:r w:rsidRPr="00874A27">
        <w:rPr>
          <w:rFonts w:ascii="Arial" w:eastAsia="Times New Roman" w:hAnsi="Arial" w:cs="Arial"/>
          <w:color w:val="000000"/>
          <w:sz w:val="19"/>
          <w:szCs w:val="19"/>
          <w:lang w:eastAsia="fr-FR"/>
        </w:rPr>
        <w:br/>
        <w:t>« La mise en œuvre des directives mentionnées au dernier alinéa du 7° de l'article L. 313-19 est présentée chaque année au conseil de surveillance ou au conseil d'administration. » ;</w:t>
      </w:r>
      <w:r w:rsidRPr="00874A27">
        <w:rPr>
          <w:rFonts w:ascii="Arial" w:eastAsia="Times New Roman" w:hAnsi="Arial" w:cs="Arial"/>
          <w:color w:val="000000"/>
          <w:sz w:val="19"/>
          <w:szCs w:val="19"/>
          <w:lang w:eastAsia="fr-FR"/>
        </w:rPr>
        <w:br/>
        <w:t>11° L'article L. 313-23 est ainsi modifié :</w:t>
      </w:r>
      <w:r w:rsidRPr="00874A27">
        <w:rPr>
          <w:rFonts w:ascii="Arial" w:eastAsia="Times New Roman" w:hAnsi="Arial" w:cs="Arial"/>
          <w:color w:val="000000"/>
          <w:sz w:val="19"/>
          <w:szCs w:val="19"/>
          <w:lang w:eastAsia="fr-FR"/>
        </w:rPr>
        <w:br/>
        <w:t>a) La troisième phrase du premier alinéa est complétée par les mots : « ou au conseil d'administration » ;</w:t>
      </w:r>
      <w:r w:rsidRPr="00874A27">
        <w:rPr>
          <w:rFonts w:ascii="Arial" w:eastAsia="Times New Roman" w:hAnsi="Arial" w:cs="Arial"/>
          <w:color w:val="000000"/>
          <w:sz w:val="19"/>
          <w:szCs w:val="19"/>
          <w:lang w:eastAsia="fr-FR"/>
        </w:rPr>
        <w:br/>
        <w:t>b) Au troisième alinéa, après le mot : « délibération, », sont insérés les mots : « demander conjointement une deuxième délibération. Dans le même délai, ils peuvent » ;</w:t>
      </w:r>
      <w:r w:rsidRPr="00874A27">
        <w:rPr>
          <w:rFonts w:ascii="Arial" w:eastAsia="Times New Roman" w:hAnsi="Arial" w:cs="Arial"/>
          <w:color w:val="000000"/>
          <w:sz w:val="19"/>
          <w:szCs w:val="19"/>
          <w:lang w:eastAsia="fr-FR"/>
        </w:rPr>
        <w:br/>
        <w:t>c) Le quatrième alinéa est complété par les mots : « ou avec l'atteinte des fins mentionnées à l'article L. 313-19 » ;</w:t>
      </w:r>
      <w:r w:rsidRPr="00874A27">
        <w:rPr>
          <w:rFonts w:ascii="Arial" w:eastAsia="Times New Roman" w:hAnsi="Arial" w:cs="Arial"/>
          <w:color w:val="000000"/>
          <w:sz w:val="19"/>
          <w:szCs w:val="19"/>
          <w:lang w:eastAsia="fr-FR"/>
        </w:rPr>
        <w:br/>
        <w:t>d) Après le quatrième alinéa, sont insérés deux alinéas ainsi rédigés :</w:t>
      </w:r>
      <w:r w:rsidRPr="00874A27">
        <w:rPr>
          <w:rFonts w:ascii="Arial" w:eastAsia="Times New Roman" w:hAnsi="Arial" w:cs="Arial"/>
          <w:color w:val="000000"/>
          <w:sz w:val="19"/>
          <w:szCs w:val="19"/>
          <w:lang w:eastAsia="fr-FR"/>
        </w:rPr>
        <w:br/>
        <w:t>« ― aux délibérations compromettant le remboursement des emprunts souscrits par l'union ;</w:t>
      </w:r>
      <w:r w:rsidRPr="00874A27">
        <w:rPr>
          <w:rFonts w:ascii="Arial" w:eastAsia="Times New Roman" w:hAnsi="Arial" w:cs="Arial"/>
          <w:color w:val="000000"/>
          <w:sz w:val="19"/>
          <w:szCs w:val="19"/>
          <w:lang w:eastAsia="fr-FR"/>
        </w:rPr>
        <w:br/>
        <w:t>« ― aux délibérations fixant pour l'union un budget manifestement surévalué au regard de ses missions ; »</w:t>
      </w:r>
      <w:r w:rsidRPr="00874A27">
        <w:rPr>
          <w:rFonts w:ascii="Arial" w:eastAsia="Times New Roman" w:hAnsi="Arial" w:cs="Arial"/>
          <w:color w:val="000000"/>
          <w:sz w:val="19"/>
          <w:szCs w:val="19"/>
          <w:lang w:eastAsia="fr-FR"/>
        </w:rPr>
        <w:br/>
        <w:t>e) Le dernier alinéa est complété par les mots : « ou à la convention mentionnée à l'article L. 313-3 » ;</w:t>
      </w:r>
      <w:r w:rsidRPr="00874A27">
        <w:rPr>
          <w:rFonts w:ascii="Arial" w:eastAsia="Times New Roman" w:hAnsi="Arial" w:cs="Arial"/>
          <w:color w:val="000000"/>
          <w:sz w:val="19"/>
          <w:szCs w:val="19"/>
          <w:lang w:eastAsia="fr-FR"/>
        </w:rPr>
        <w:br/>
        <w:t>12° L'article L. 313-25 est ainsi modifié :</w:t>
      </w:r>
      <w:r w:rsidRPr="00874A27">
        <w:rPr>
          <w:rFonts w:ascii="Arial" w:eastAsia="Times New Roman" w:hAnsi="Arial" w:cs="Arial"/>
          <w:color w:val="000000"/>
          <w:sz w:val="19"/>
          <w:szCs w:val="19"/>
          <w:lang w:eastAsia="fr-FR"/>
        </w:rPr>
        <w:br/>
        <w:t>a) A la fin de la seconde phrase du premier alinéa, les mots : « dans la limite d'un plafond fixé par l'autorité administrative » sont supprimés ;</w:t>
      </w:r>
      <w:r w:rsidRPr="00874A27">
        <w:rPr>
          <w:rFonts w:ascii="Arial" w:eastAsia="Times New Roman" w:hAnsi="Arial" w:cs="Arial"/>
          <w:color w:val="000000"/>
          <w:sz w:val="19"/>
          <w:szCs w:val="19"/>
          <w:lang w:eastAsia="fr-FR"/>
        </w:rPr>
        <w:br/>
        <w:t>b) Au deuxième alinéa, le mot : « forfaitaire » est supprimé et est ajoutée une phrase ainsi rédigée :</w:t>
      </w:r>
      <w:r w:rsidRPr="00874A27">
        <w:rPr>
          <w:rFonts w:ascii="Arial" w:eastAsia="Times New Roman" w:hAnsi="Arial" w:cs="Arial"/>
          <w:color w:val="000000"/>
          <w:sz w:val="19"/>
          <w:szCs w:val="19"/>
          <w:lang w:eastAsia="fr-FR"/>
        </w:rPr>
        <w:br/>
        <w:t>« Une part de ce défraiement peut être versée directement aux représentants de ces organisations en défraiement des frais exposés dans le cadre de leurs travaux et activités exercés pour l'union. » ;</w:t>
      </w:r>
      <w:r w:rsidRPr="00874A27">
        <w:rPr>
          <w:rFonts w:ascii="Arial" w:eastAsia="Times New Roman" w:hAnsi="Arial" w:cs="Arial"/>
          <w:color w:val="000000"/>
          <w:sz w:val="19"/>
          <w:szCs w:val="19"/>
          <w:lang w:eastAsia="fr-FR"/>
        </w:rPr>
        <w:br/>
        <w:t>c) La première phrase du troisième alinéa est ainsi modifiée :</w:t>
      </w:r>
      <w:r w:rsidRPr="00874A27">
        <w:rPr>
          <w:rFonts w:ascii="Arial" w:eastAsia="Times New Roman" w:hAnsi="Arial" w:cs="Arial"/>
          <w:color w:val="000000"/>
          <w:sz w:val="19"/>
          <w:szCs w:val="19"/>
          <w:lang w:eastAsia="fr-FR"/>
        </w:rPr>
        <w:br/>
        <w:t>― après le mot : « montant », il est inséré le mot : « total » ;</w:t>
      </w:r>
      <w:r w:rsidRPr="00874A27">
        <w:rPr>
          <w:rFonts w:ascii="Arial" w:eastAsia="Times New Roman" w:hAnsi="Arial" w:cs="Arial"/>
          <w:color w:val="000000"/>
          <w:sz w:val="19"/>
          <w:szCs w:val="19"/>
          <w:lang w:eastAsia="fr-FR"/>
        </w:rPr>
        <w:br/>
        <w:t>― le mot : « qui » est remplacé par les mots : «, dans la limite d'un plafond fixé par arrêté. Ce montant » ;</w:t>
      </w:r>
      <w:r w:rsidRPr="00874A27">
        <w:rPr>
          <w:rFonts w:ascii="Arial" w:eastAsia="Times New Roman" w:hAnsi="Arial" w:cs="Arial"/>
          <w:color w:val="000000"/>
          <w:sz w:val="19"/>
          <w:szCs w:val="19"/>
          <w:lang w:eastAsia="fr-FR"/>
        </w:rPr>
        <w:br/>
        <w:t>d) Le dernier alinéa est supprimé ;</w:t>
      </w:r>
      <w:r w:rsidRPr="00874A27">
        <w:rPr>
          <w:rFonts w:ascii="Arial" w:eastAsia="Times New Roman" w:hAnsi="Arial" w:cs="Arial"/>
          <w:color w:val="000000"/>
          <w:sz w:val="19"/>
          <w:szCs w:val="19"/>
          <w:lang w:eastAsia="fr-FR"/>
        </w:rPr>
        <w:br/>
        <w:t>13° Le premier alinéa de l'article L. 313-26-2 est complété par deux phrases ainsi rédigées :</w:t>
      </w:r>
      <w:r w:rsidRPr="00874A27">
        <w:rPr>
          <w:rFonts w:ascii="Arial" w:eastAsia="Times New Roman" w:hAnsi="Arial" w:cs="Arial"/>
          <w:color w:val="000000"/>
          <w:sz w:val="19"/>
          <w:szCs w:val="19"/>
          <w:lang w:eastAsia="fr-FR"/>
        </w:rPr>
        <w:br/>
        <w:t>« Une part de ces attributions peut être réservée à des personnes hébergées ou logées temporairement dans un logement de transition, un logement-foyer ou une résidence hôtelière à vocation sociale. Un accord passé avec le représentant de l'Etat dans le département ou, en Ile-de-France, dans la région, fixe les modalités d'application du présent alinéa. » ;</w:t>
      </w:r>
      <w:r w:rsidRPr="00874A27">
        <w:rPr>
          <w:rFonts w:ascii="Arial" w:eastAsia="Times New Roman" w:hAnsi="Arial" w:cs="Arial"/>
          <w:color w:val="000000"/>
          <w:sz w:val="19"/>
          <w:szCs w:val="19"/>
          <w:lang w:eastAsia="fr-FR"/>
        </w:rPr>
        <w:br/>
        <w:t>14° Après le mot : « modéré », la fin du premier alinéa de l'article L. 313-27 est ainsi rédigée : « est limité au montant du nominal de ces parts ou actions majoré, pour chaque année ayant précédé la cession, sans pouvoir excéder vingt années d'un intérêt calculé au taux servi au 31 décembre de l'année considérée aux détenteurs d'un livret A majoré de 1,5 point et diminué des dividendes versés pendant la même période. » ;</w:t>
      </w:r>
      <w:r w:rsidRPr="00874A27">
        <w:rPr>
          <w:rFonts w:ascii="Arial" w:eastAsia="Times New Roman" w:hAnsi="Arial" w:cs="Arial"/>
          <w:color w:val="000000"/>
          <w:sz w:val="19"/>
          <w:szCs w:val="19"/>
          <w:lang w:eastAsia="fr-FR"/>
        </w:rPr>
        <w:br/>
        <w:t>15° L'article L. 313-28 est ainsi modifié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a) A la première phrase du premier alinéa, après le mot : « sociétés », il est inséré le mot : « immobilières » ;</w:t>
      </w:r>
      <w:r w:rsidRPr="00874A27">
        <w:rPr>
          <w:rFonts w:ascii="Arial" w:eastAsia="Times New Roman" w:hAnsi="Arial" w:cs="Arial"/>
          <w:color w:val="000000"/>
          <w:sz w:val="19"/>
          <w:szCs w:val="19"/>
          <w:lang w:eastAsia="fr-FR"/>
        </w:rPr>
        <w:br/>
        <w:t>b) Au dernier alinéa, le mot : « sera » est remplacé par le mot : « est » ;</w:t>
      </w:r>
      <w:r w:rsidRPr="00874A27">
        <w:rPr>
          <w:rFonts w:ascii="Arial" w:eastAsia="Times New Roman" w:hAnsi="Arial" w:cs="Arial"/>
          <w:color w:val="000000"/>
          <w:sz w:val="19"/>
          <w:szCs w:val="19"/>
          <w:lang w:eastAsia="fr-FR"/>
        </w:rPr>
        <w:br/>
        <w:t>16° Les 1° à 7° de l'article L. 313-29 sont remplacés par des 1° et 2° ainsi rédigés :</w:t>
      </w:r>
      <w:r w:rsidRPr="00874A27">
        <w:rPr>
          <w:rFonts w:ascii="Arial" w:eastAsia="Times New Roman" w:hAnsi="Arial" w:cs="Arial"/>
          <w:color w:val="000000"/>
          <w:sz w:val="19"/>
          <w:szCs w:val="19"/>
          <w:lang w:eastAsia="fr-FR"/>
        </w:rPr>
        <w:br/>
        <w:t>« 1° Les personnes tombant sous le coup des interdictions prévues aux articles L. 241-3 et L. 241-4 ;</w:t>
      </w:r>
      <w:r w:rsidRPr="00874A27">
        <w:rPr>
          <w:rFonts w:ascii="Arial" w:eastAsia="Times New Roman" w:hAnsi="Arial" w:cs="Arial"/>
          <w:color w:val="000000"/>
          <w:sz w:val="19"/>
          <w:szCs w:val="19"/>
          <w:lang w:eastAsia="fr-FR"/>
        </w:rPr>
        <w:br/>
        <w:t>« 2° Pendant un délai de dix ans, les personnes interdites et les personnes suspendues en application de l'article L. 342-14. » ;</w:t>
      </w:r>
      <w:r w:rsidRPr="00874A27">
        <w:rPr>
          <w:rFonts w:ascii="Arial" w:eastAsia="Times New Roman" w:hAnsi="Arial" w:cs="Arial"/>
          <w:color w:val="000000"/>
          <w:sz w:val="19"/>
          <w:szCs w:val="19"/>
          <w:lang w:eastAsia="fr-FR"/>
        </w:rPr>
        <w:br/>
        <w:t>17° L'article L. 313-32-1 est abrogé ;</w:t>
      </w:r>
      <w:r w:rsidRPr="00874A27">
        <w:rPr>
          <w:rFonts w:ascii="Arial" w:eastAsia="Times New Roman" w:hAnsi="Arial" w:cs="Arial"/>
          <w:color w:val="000000"/>
          <w:sz w:val="19"/>
          <w:szCs w:val="19"/>
          <w:lang w:eastAsia="fr-FR"/>
        </w:rPr>
        <w:br/>
        <w:t>18° Le deuxième alinéa de l'article L. 313-33 est ainsi rédigé :</w:t>
      </w:r>
      <w:r w:rsidRPr="00874A27">
        <w:rPr>
          <w:rFonts w:ascii="Arial" w:eastAsia="Times New Roman" w:hAnsi="Arial" w:cs="Arial"/>
          <w:color w:val="000000"/>
          <w:sz w:val="19"/>
          <w:szCs w:val="19"/>
          <w:lang w:eastAsia="fr-FR"/>
        </w:rPr>
        <w:br/>
        <w:t>« Trois commissaires du Gouvernement représentent l'Etat auprès de l'association. Chaque commissaire du Gouvernement peut disposer d'un suppléant. Ils disposent des mêmes pouvoirs au sein de l'association que ceux mentionnés à l'article L. 313-23. Toutefois, le pouvoir mentionné au quatrième alinéa du même article L. 313-23 s'applique également, dans les mêmes conditions, aux délibérations modifiant l'équilibre financier du fonds mentionné au IV de l'article L. 313-20. L'article L. 313-22 s'applique également à l'association. » ;</w:t>
      </w:r>
      <w:r w:rsidRPr="00874A27">
        <w:rPr>
          <w:rFonts w:ascii="Arial" w:eastAsia="Times New Roman" w:hAnsi="Arial" w:cs="Arial"/>
          <w:color w:val="000000"/>
          <w:sz w:val="19"/>
          <w:szCs w:val="19"/>
          <w:lang w:eastAsia="fr-FR"/>
        </w:rPr>
        <w:br/>
        <w:t>19° Le deuxième alinéa de l'article L. 313-34 est ainsi rédigé :</w:t>
      </w:r>
      <w:r w:rsidRPr="00874A27">
        <w:rPr>
          <w:rFonts w:ascii="Arial" w:eastAsia="Times New Roman" w:hAnsi="Arial" w:cs="Arial"/>
          <w:color w:val="000000"/>
          <w:sz w:val="19"/>
          <w:szCs w:val="19"/>
          <w:lang w:eastAsia="fr-FR"/>
        </w:rPr>
        <w:br/>
        <w:t>« Trois commissaires du Gouvernement représentent l'Etat auprès de l'association. Chaque commissaire du Gouvernement peut disposer d'un suppléant. Ils disposent des mêmes pouvoirs au sein de l'association que ceux mentionnés à l'article L. 313-23. Toutefois, le pouvoir mentionné au quatrième alinéa du même article L. 313-23 s'applique également, dans les mêmes conditions, aux délibérations modifiant l'équilibre financier de l'association et de ses filiales. L'article L. 313-22 s'applique également à l'association. » ;</w:t>
      </w:r>
      <w:r w:rsidRPr="00874A27">
        <w:rPr>
          <w:rFonts w:ascii="Arial" w:eastAsia="Times New Roman" w:hAnsi="Arial" w:cs="Arial"/>
          <w:color w:val="000000"/>
          <w:sz w:val="19"/>
          <w:szCs w:val="19"/>
          <w:lang w:eastAsia="fr-FR"/>
        </w:rPr>
        <w:br/>
        <w:t>20° Le premier alinéa de l'article L. 313-35 est complété par une phrase ainsi rédigée :</w:t>
      </w:r>
      <w:r w:rsidRPr="00874A27">
        <w:rPr>
          <w:rFonts w:ascii="Arial" w:eastAsia="Times New Roman" w:hAnsi="Arial" w:cs="Arial"/>
          <w:color w:val="000000"/>
          <w:sz w:val="19"/>
          <w:szCs w:val="19"/>
          <w:lang w:eastAsia="fr-FR"/>
        </w:rPr>
        <w:br/>
        <w:t>« Une part de ces attributions peut être réservée à des personnes hébergées ou logées temporairement dans un logement de transition, un logement-foyer ou une résidence hôtelière à vocation sociale. » ;</w:t>
      </w:r>
      <w:r w:rsidRPr="00874A27">
        <w:rPr>
          <w:rFonts w:ascii="Arial" w:eastAsia="Times New Roman" w:hAnsi="Arial" w:cs="Arial"/>
          <w:color w:val="000000"/>
          <w:sz w:val="19"/>
          <w:szCs w:val="19"/>
          <w:lang w:eastAsia="fr-FR"/>
        </w:rPr>
        <w:br/>
        <w:t>21° L'article L. 313-36 est complété par les mots : « pris après avis des partenaires sociaux associés de l'Union d'économie sociale du logement ».</w:t>
      </w:r>
      <w:r w:rsidRPr="00874A27">
        <w:rPr>
          <w:rFonts w:ascii="Arial" w:eastAsia="Times New Roman" w:hAnsi="Arial" w:cs="Arial"/>
          <w:color w:val="000000"/>
          <w:sz w:val="19"/>
          <w:szCs w:val="19"/>
          <w:lang w:eastAsia="fr-FR"/>
        </w:rPr>
        <w:br/>
        <w:t>III. ― L'article 8 de la loi n° 96-1237 du 30 décembre 1996 relative à l'Union d'économie sociale du logement est abrogé.</w:t>
      </w:r>
      <w:r w:rsidRPr="00874A27">
        <w:rPr>
          <w:rFonts w:ascii="Arial" w:eastAsia="Times New Roman" w:hAnsi="Arial" w:cs="Arial"/>
          <w:color w:val="000000"/>
          <w:sz w:val="19"/>
          <w:szCs w:val="19"/>
          <w:lang w:eastAsia="fr-FR"/>
        </w:rPr>
        <w:br/>
        <w:t>IV. ― Les dispositions réglementaires prises en application du </w:t>
      </w:r>
      <w:hyperlink r:id="rId511" w:history="1">
        <w:r w:rsidRPr="00874A27">
          <w:rPr>
            <w:rFonts w:ascii="Arial" w:eastAsia="Times New Roman" w:hAnsi="Arial" w:cs="Arial"/>
            <w:color w:val="336699"/>
            <w:sz w:val="19"/>
            <w:szCs w:val="19"/>
            <w:u w:val="single"/>
            <w:lang w:eastAsia="fr-FR"/>
          </w:rPr>
          <w:t>dernier alinéa de l'article L. 313-3 du code de la construction et de l'habitation</w:t>
        </w:r>
      </w:hyperlink>
      <w:r w:rsidRPr="00874A27">
        <w:rPr>
          <w:rFonts w:ascii="Arial" w:eastAsia="Times New Roman" w:hAnsi="Arial" w:cs="Arial"/>
          <w:color w:val="000000"/>
          <w:sz w:val="19"/>
          <w:szCs w:val="19"/>
          <w:lang w:eastAsia="fr-FR"/>
        </w:rPr>
        <w:t>, dans sa rédaction antérieure à l'entrée en vigueur de la présente loi, restent applicables jusqu'à la date d'effet de la première convention mentionnée à ce même article dans sa rédaction résultant de la présente loi.</w:t>
      </w:r>
      <w:r w:rsidRPr="00874A27">
        <w:rPr>
          <w:rFonts w:ascii="Arial" w:eastAsia="Times New Roman" w:hAnsi="Arial" w:cs="Arial"/>
          <w:color w:val="000000"/>
          <w:sz w:val="19"/>
          <w:szCs w:val="19"/>
          <w:lang w:eastAsia="fr-FR"/>
        </w:rPr>
        <w:br/>
        <w:t>V. ― Les obligations comptables résultant de l'article L. 313-8 et du </w:t>
      </w:r>
      <w:hyperlink r:id="rId512" w:history="1">
        <w:r w:rsidRPr="00874A27">
          <w:rPr>
            <w:rFonts w:ascii="Arial" w:eastAsia="Times New Roman" w:hAnsi="Arial" w:cs="Arial"/>
            <w:color w:val="336699"/>
            <w:sz w:val="19"/>
            <w:szCs w:val="19"/>
            <w:u w:val="single"/>
            <w:lang w:eastAsia="fr-FR"/>
          </w:rPr>
          <w:t>12° de l'article L. 313-19 du code de la construction et de l'habitation</w:t>
        </w:r>
      </w:hyperlink>
      <w:r w:rsidRPr="00874A27">
        <w:rPr>
          <w:rFonts w:ascii="Arial" w:eastAsia="Times New Roman" w:hAnsi="Arial" w:cs="Arial"/>
          <w:color w:val="000000"/>
          <w:sz w:val="19"/>
          <w:szCs w:val="19"/>
          <w:lang w:eastAsia="fr-FR"/>
        </w:rPr>
        <w:t>, dans leur rédaction résultant de la présente loi, sont applicables à compter des comptes de l'exercice 2015.</w:t>
      </w:r>
      <w:r w:rsidRPr="00874A27">
        <w:rPr>
          <w:rFonts w:ascii="Arial" w:eastAsia="Times New Roman" w:hAnsi="Arial" w:cs="Arial"/>
          <w:color w:val="000000"/>
          <w:sz w:val="19"/>
          <w:szCs w:val="19"/>
          <w:lang w:eastAsia="fr-FR"/>
        </w:rPr>
        <w:br/>
        <w:t>VI. ― Les agréments accordés aux organismes agréés par le ministre chargé du logement aux fins de collecter la participation des employeurs à l'effort de construction, en application de l'</w:t>
      </w:r>
      <w:hyperlink r:id="rId513" w:history="1">
        <w:r w:rsidRPr="00874A27">
          <w:rPr>
            <w:rFonts w:ascii="Arial" w:eastAsia="Times New Roman" w:hAnsi="Arial" w:cs="Arial"/>
            <w:color w:val="336699"/>
            <w:sz w:val="19"/>
            <w:szCs w:val="19"/>
            <w:u w:val="single"/>
            <w:lang w:eastAsia="fr-FR"/>
          </w:rPr>
          <w:t>article L. 313-1 du code de la construction et de l'habitation</w:t>
        </w:r>
      </w:hyperlink>
      <w:r w:rsidRPr="00874A27">
        <w:rPr>
          <w:rFonts w:ascii="Arial" w:eastAsia="Times New Roman" w:hAnsi="Arial" w:cs="Arial"/>
          <w:color w:val="000000"/>
          <w:sz w:val="19"/>
          <w:szCs w:val="19"/>
          <w:lang w:eastAsia="fr-FR"/>
        </w:rPr>
        <w:t>, dans sa rédaction antérieure à l'entrée en vigueur de la présente loi, et ayant le statut d'organismes d'habitations à loyer modéré ou de sociétés d'économie mixte exerçant à titre principal une activité de construction, d'acquisition ou de gestion de logements sociaux demeurent valables jusqu'au 31 décembre 2014, sous réserve du respect des conditions de maintien d'agrément.</w:t>
      </w:r>
      <w:r w:rsidRPr="00874A27">
        <w:rPr>
          <w:rFonts w:ascii="Arial" w:eastAsia="Times New Roman" w:hAnsi="Arial" w:cs="Arial"/>
          <w:color w:val="000000"/>
          <w:sz w:val="19"/>
          <w:szCs w:val="19"/>
          <w:lang w:eastAsia="fr-FR"/>
        </w:rPr>
        <w:br/>
        <w:t>Jusqu'au 31 décembre 2014, l'</w:t>
      </w:r>
      <w:hyperlink r:id="rId514" w:history="1">
        <w:r w:rsidRPr="00874A27">
          <w:rPr>
            <w:rFonts w:ascii="Arial" w:eastAsia="Times New Roman" w:hAnsi="Arial" w:cs="Arial"/>
            <w:color w:val="336699"/>
            <w:sz w:val="19"/>
            <w:szCs w:val="19"/>
            <w:u w:val="single"/>
            <w:lang w:eastAsia="fr-FR"/>
          </w:rPr>
          <w:t>article L. 313-32-1 du code de la construction et de l'habitation</w:t>
        </w:r>
      </w:hyperlink>
      <w:r w:rsidRPr="00874A27">
        <w:rPr>
          <w:rFonts w:ascii="Arial" w:eastAsia="Times New Roman" w:hAnsi="Arial" w:cs="Arial"/>
          <w:color w:val="000000"/>
          <w:sz w:val="19"/>
          <w:szCs w:val="19"/>
          <w:lang w:eastAsia="fr-FR"/>
        </w:rPr>
        <w:t>, dans sa rédaction antérieure à l'entrée en vigueur de la présente loi, s'applique à ces organismes.</w:t>
      </w:r>
      <w:r w:rsidRPr="00874A27">
        <w:rPr>
          <w:rFonts w:ascii="Arial" w:eastAsia="Times New Roman" w:hAnsi="Arial" w:cs="Arial"/>
          <w:color w:val="000000"/>
          <w:sz w:val="19"/>
          <w:szCs w:val="19"/>
          <w:lang w:eastAsia="fr-FR"/>
        </w:rPr>
        <w:br/>
        <w:t>A compter du 1er janvier 2015, l'agrément des organismes mentionnés au premier alinéa du présent VI est retiré de plein droit, sans notification préalable. Leurs droits et obligations sont transférés aux organismes mentionnés au premier alinéa de l'article L. 313-18.</w:t>
      </w:r>
      <w:r w:rsidRPr="00874A27">
        <w:rPr>
          <w:rFonts w:ascii="Arial" w:eastAsia="Times New Roman" w:hAnsi="Arial" w:cs="Arial"/>
          <w:color w:val="000000"/>
          <w:sz w:val="19"/>
          <w:szCs w:val="19"/>
          <w:lang w:eastAsia="fr-FR"/>
        </w:rPr>
        <w:br/>
        <w:t>VII. ― Le I de l'article L. 321-1 du code de la construction et de l'habitation est ainsi modifié :</w:t>
      </w:r>
      <w:r w:rsidRPr="00874A27">
        <w:rPr>
          <w:rFonts w:ascii="Arial" w:eastAsia="Times New Roman" w:hAnsi="Arial" w:cs="Arial"/>
          <w:color w:val="000000"/>
          <w:sz w:val="19"/>
          <w:szCs w:val="19"/>
          <w:lang w:eastAsia="fr-FR"/>
        </w:rPr>
        <w:br/>
        <w:t>1° Le premier alinéa est ainsi modifié :</w:t>
      </w:r>
      <w:r w:rsidRPr="00874A27">
        <w:rPr>
          <w:rFonts w:ascii="Arial" w:eastAsia="Times New Roman" w:hAnsi="Arial" w:cs="Arial"/>
          <w:color w:val="000000"/>
          <w:sz w:val="19"/>
          <w:szCs w:val="19"/>
          <w:lang w:eastAsia="fr-FR"/>
        </w:rPr>
        <w:br/>
        <w:t>a) A la première phrase, les mots : « ainsi que de participer à la lutte contre l'habitat indigne » sont remplacés par les mots et une phrase ainsi rédigée : «, en particulier en ce qui concerne les performances thermiques et l'adaptation à la perte d'autonomie. Elle participe à la lutte contre l'habitat indigne et dégradé, aux actions de prévention et de traitement des copropriétés fragiles ou en difficulté, à la lutte contre la précarité énergétique » ;</w:t>
      </w:r>
      <w:r w:rsidRPr="00874A27">
        <w:rPr>
          <w:rFonts w:ascii="Arial" w:eastAsia="Times New Roman" w:hAnsi="Arial" w:cs="Arial"/>
          <w:color w:val="000000"/>
          <w:sz w:val="19"/>
          <w:szCs w:val="19"/>
          <w:lang w:eastAsia="fr-FR"/>
        </w:rPr>
        <w:br/>
        <w:t>b) A la deuxième phrase, après la première occurrence du mot : « habitation, », sont insérés les mots : « notamment ceux faisant l'objet d'un bail rural ou commercial, » et sont ajoutés les mots : « et d'opérations de portage ciblé de lots d'habitation d'une copropriété en difficulté » ;</w:t>
      </w:r>
      <w:r w:rsidRPr="00874A27">
        <w:rPr>
          <w:rFonts w:ascii="Arial" w:eastAsia="Times New Roman" w:hAnsi="Arial" w:cs="Arial"/>
          <w:color w:val="000000"/>
          <w:sz w:val="19"/>
          <w:szCs w:val="19"/>
          <w:lang w:eastAsia="fr-FR"/>
        </w:rPr>
        <w:br/>
        <w:t>2° Au 3°, les mots : « deux représentants de l'Union d'économie sociale du logement ainsi qu'» sont supprimés.</w:t>
      </w:r>
      <w:r w:rsidRPr="00874A27">
        <w:rPr>
          <w:rFonts w:ascii="Arial" w:eastAsia="Times New Roman" w:hAnsi="Arial" w:cs="Arial"/>
          <w:color w:val="000000"/>
          <w:sz w:val="19"/>
          <w:szCs w:val="19"/>
          <w:lang w:eastAsia="fr-FR"/>
        </w:rPr>
        <w:br/>
        <w:t>VIII. ― Le I de l'article L. 511-7 du code monétaire et financier est complété par un alinéa ainsi rédigé :</w:t>
      </w:r>
      <w:r w:rsidRPr="00874A27">
        <w:rPr>
          <w:rFonts w:ascii="Arial" w:eastAsia="Times New Roman" w:hAnsi="Arial" w:cs="Arial"/>
          <w:color w:val="000000"/>
          <w:sz w:val="19"/>
          <w:szCs w:val="19"/>
          <w:lang w:eastAsia="fr-FR"/>
        </w:rPr>
        <w:br/>
        <w:t>« Ces interdictions ne font pas non plus obstacle à ce que l'union mentionnée à l'</w:t>
      </w:r>
      <w:hyperlink r:id="rId515" w:history="1">
        <w:r w:rsidRPr="00874A27">
          <w:rPr>
            <w:rFonts w:ascii="Arial" w:eastAsia="Times New Roman" w:hAnsi="Arial" w:cs="Arial"/>
            <w:color w:val="336699"/>
            <w:sz w:val="19"/>
            <w:szCs w:val="19"/>
            <w:u w:val="single"/>
            <w:lang w:eastAsia="fr-FR"/>
          </w:rPr>
          <w:t>article L. 313-17 du code de la construction et de l'habitation </w:t>
        </w:r>
      </w:hyperlink>
      <w:r w:rsidRPr="00874A27">
        <w:rPr>
          <w:rFonts w:ascii="Arial" w:eastAsia="Times New Roman" w:hAnsi="Arial" w:cs="Arial"/>
          <w:color w:val="000000"/>
          <w:sz w:val="19"/>
          <w:szCs w:val="19"/>
          <w:lang w:eastAsia="fr-FR"/>
        </w:rPr>
        <w:t xml:space="preserve">puisse procéder à des opérations de trésorerie avec ses </w:t>
      </w:r>
      <w:r w:rsidRPr="00874A27">
        <w:rPr>
          <w:rFonts w:ascii="Arial" w:eastAsia="Times New Roman" w:hAnsi="Arial" w:cs="Arial"/>
          <w:color w:val="000000"/>
          <w:sz w:val="19"/>
          <w:szCs w:val="19"/>
          <w:lang w:eastAsia="fr-FR"/>
        </w:rPr>
        <w:lastRenderedPageBreak/>
        <w:t>associés collecteurs agréés et les associations mentionnées aux articles L. 313-33 et L. 313-34 du même code.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23" w:name="JORFARTI000028773009"/>
      <w:bookmarkEnd w:id="123"/>
      <w:r w:rsidRPr="00874A27">
        <w:rPr>
          <w:rFonts w:ascii="Arial" w:eastAsia="Times New Roman" w:hAnsi="Arial" w:cs="Arial"/>
          <w:b/>
          <w:bCs/>
          <w:color w:val="000000"/>
          <w:sz w:val="23"/>
          <w:szCs w:val="23"/>
          <w:lang w:eastAsia="fr-FR"/>
        </w:rPr>
        <w:t>Article 124 </w:t>
      </w:r>
      <w:hyperlink r:id="rId516" w:tooltip="En savoir plus sur l'article 12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livre III du code de la construction et de l'habitation est complété par un titre VIII ainsi rédigé :</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VIII</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DISPOSITIONS RELATIVES AU TIERS-FINANCEMENT</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unique</w:t>
      </w: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Sociétés de tiers-financement</w:t>
      </w:r>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381-1. - Le tiers-financement, dans le champ d'opérations de rénovation de bâtiments, est caractérisé par l'intégration d'une offre technique, portant notamment sur la réalisation des travaux dont la finalité principale est la diminution des consommations énergétiques, à un service comprenant le financement partiel ou total de ladite offre, en contrepartie de paiements échelonnés, réguliers et limités dans le temps. Est exclue du service de tiers-financement au sens du présent article la vente ou la revente d'énergies. Un décret précise le périmètre des prestations que peut couvrir le service de tiers-financement.</w:t>
      </w:r>
      <w:r w:rsidRPr="00874A27">
        <w:rPr>
          <w:rFonts w:ascii="Arial" w:eastAsia="Times New Roman" w:hAnsi="Arial" w:cs="Arial"/>
          <w:color w:val="000000"/>
          <w:sz w:val="19"/>
          <w:szCs w:val="19"/>
          <w:lang w:eastAsia="fr-FR"/>
        </w:rPr>
        <w:br/>
        <w:t>« Art. L. 381-2. - Est dit société de tiers-financement tout organisme susceptible d'offrir au maître de l'ouvrage un service de tiers-financement tel que défini à l'article L. 381-1.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24" w:name="JORFARTI000028773014"/>
      <w:bookmarkEnd w:id="124"/>
      <w:r w:rsidRPr="00874A27">
        <w:rPr>
          <w:rFonts w:ascii="Arial" w:eastAsia="Times New Roman" w:hAnsi="Arial" w:cs="Arial"/>
          <w:b/>
          <w:bCs/>
          <w:color w:val="000000"/>
          <w:sz w:val="23"/>
          <w:szCs w:val="23"/>
          <w:lang w:eastAsia="fr-FR"/>
        </w:rPr>
        <w:t>Article 125 </w:t>
      </w:r>
      <w:hyperlink r:id="rId517" w:tooltip="En savoir plus sur l'article 12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Dans les conditions prévues à l'article 38 de la Constitution, le Gouvernement est autorisé à procéder, par voie d'ordonnances, à une nouvelle rédaction des dispositions législatives du code de la construction et de l'habitation afin d'en clarifier la rédaction et le plan.</w:t>
      </w:r>
      <w:r w:rsidRPr="00874A27">
        <w:rPr>
          <w:rFonts w:ascii="Arial" w:eastAsia="Times New Roman" w:hAnsi="Arial" w:cs="Arial"/>
          <w:color w:val="000000"/>
          <w:sz w:val="19"/>
          <w:szCs w:val="19"/>
          <w:lang w:eastAsia="fr-FR"/>
        </w:rPr>
        <w:br/>
        <w:t>Les ordonnances prises sur le fondement du premier alinéa peuvent en outre compléter le </w:t>
      </w:r>
      <w:hyperlink r:id="rId518" w:history="1">
        <w:r w:rsidRPr="00874A27">
          <w:rPr>
            <w:rFonts w:ascii="Arial" w:eastAsia="Times New Roman" w:hAnsi="Arial" w:cs="Arial"/>
            <w:color w:val="336699"/>
            <w:sz w:val="19"/>
            <w:szCs w:val="19"/>
            <w:u w:val="single"/>
            <w:lang w:eastAsia="fr-FR"/>
          </w:rPr>
          <w:t>code de la construction et de l'habitation</w:t>
        </w:r>
      </w:hyperlink>
      <w:r w:rsidRPr="00874A27">
        <w:rPr>
          <w:rFonts w:ascii="Arial" w:eastAsia="Times New Roman" w:hAnsi="Arial" w:cs="Arial"/>
          <w:color w:val="000000"/>
          <w:sz w:val="19"/>
          <w:szCs w:val="19"/>
          <w:lang w:eastAsia="fr-FR"/>
        </w:rPr>
        <w:t> pour y codifier les dispositions de la :</w:t>
      </w:r>
      <w:r w:rsidRPr="00874A27">
        <w:rPr>
          <w:rFonts w:ascii="Arial" w:eastAsia="Times New Roman" w:hAnsi="Arial" w:cs="Arial"/>
          <w:color w:val="000000"/>
          <w:sz w:val="19"/>
          <w:szCs w:val="19"/>
          <w:lang w:eastAsia="fr-FR"/>
        </w:rPr>
        <w:br/>
        <w:t>― </w:t>
      </w:r>
      <w:hyperlink r:id="rId519" w:history="1">
        <w:r w:rsidRPr="00874A27">
          <w:rPr>
            <w:rFonts w:ascii="Arial" w:eastAsia="Times New Roman" w:hAnsi="Arial" w:cs="Arial"/>
            <w:color w:val="336699"/>
            <w:sz w:val="19"/>
            <w:szCs w:val="19"/>
            <w:u w:val="single"/>
            <w:lang w:eastAsia="fr-FR"/>
          </w:rPr>
          <w:t>loi n° 48-1360 du 1er septembre 1948</w:t>
        </w:r>
      </w:hyperlink>
      <w:r w:rsidRPr="00874A27">
        <w:rPr>
          <w:rFonts w:ascii="Arial" w:eastAsia="Times New Roman" w:hAnsi="Arial" w:cs="Arial"/>
          <w:color w:val="000000"/>
          <w:sz w:val="19"/>
          <w:szCs w:val="19"/>
          <w:lang w:eastAsia="fr-FR"/>
        </w:rPr>
        <w:t> portant modification et codification de la législation relative aux rapports des bailleurs et locataires ou occupants de locaux d'habitation ou à usage professionnel et instituant des allocations de logement ;</w:t>
      </w:r>
      <w:r w:rsidRPr="00874A27">
        <w:rPr>
          <w:rFonts w:ascii="Arial" w:eastAsia="Times New Roman" w:hAnsi="Arial" w:cs="Arial"/>
          <w:color w:val="000000"/>
          <w:sz w:val="19"/>
          <w:szCs w:val="19"/>
          <w:lang w:eastAsia="fr-FR"/>
        </w:rPr>
        <w:br/>
        <w:t>― </w:t>
      </w:r>
      <w:hyperlink r:id="rId520" w:history="1">
        <w:r w:rsidRPr="00874A27">
          <w:rPr>
            <w:rFonts w:ascii="Arial" w:eastAsia="Times New Roman" w:hAnsi="Arial" w:cs="Arial"/>
            <w:color w:val="336699"/>
            <w:sz w:val="19"/>
            <w:szCs w:val="19"/>
            <w:u w:val="single"/>
            <w:lang w:eastAsia="fr-FR"/>
          </w:rPr>
          <w:t>loi n° 89-462 du 6 juillet 1989</w:t>
        </w:r>
      </w:hyperlink>
      <w:r w:rsidRPr="00874A27">
        <w:rPr>
          <w:rFonts w:ascii="Arial" w:eastAsia="Times New Roman" w:hAnsi="Arial" w:cs="Arial"/>
          <w:color w:val="000000"/>
          <w:sz w:val="19"/>
          <w:szCs w:val="19"/>
          <w:lang w:eastAsia="fr-FR"/>
        </w:rPr>
        <w:t> tendant à améliorer les rapports locatifs et portant modification de la </w:t>
      </w:r>
      <w:hyperlink r:id="rId521" w:history="1">
        <w:r w:rsidRPr="00874A27">
          <w:rPr>
            <w:rFonts w:ascii="Arial" w:eastAsia="Times New Roman" w:hAnsi="Arial" w:cs="Arial"/>
            <w:color w:val="336699"/>
            <w:sz w:val="19"/>
            <w:szCs w:val="19"/>
            <w:u w:val="single"/>
            <w:lang w:eastAsia="fr-FR"/>
          </w:rPr>
          <w:t>loi n° 86-1290 du 23 décembre 1986</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 </w:t>
      </w:r>
      <w:hyperlink r:id="rId522" w:history="1">
        <w:r w:rsidRPr="00874A27">
          <w:rPr>
            <w:rFonts w:ascii="Arial" w:eastAsia="Times New Roman" w:hAnsi="Arial" w:cs="Arial"/>
            <w:color w:val="336699"/>
            <w:sz w:val="19"/>
            <w:szCs w:val="19"/>
            <w:u w:val="single"/>
            <w:lang w:eastAsia="fr-FR"/>
          </w:rPr>
          <w:t>loi n° 90-449 du 31 mai 1990</w:t>
        </w:r>
      </w:hyperlink>
      <w:r w:rsidRPr="00874A27">
        <w:rPr>
          <w:rFonts w:ascii="Arial" w:eastAsia="Times New Roman" w:hAnsi="Arial" w:cs="Arial"/>
          <w:color w:val="000000"/>
          <w:sz w:val="19"/>
          <w:szCs w:val="19"/>
          <w:lang w:eastAsia="fr-FR"/>
        </w:rPr>
        <w:t> visant à la mise en œuvre du droit au logement ;</w:t>
      </w:r>
      <w:r w:rsidRPr="00874A27">
        <w:rPr>
          <w:rFonts w:ascii="Arial" w:eastAsia="Times New Roman" w:hAnsi="Arial" w:cs="Arial"/>
          <w:color w:val="000000"/>
          <w:sz w:val="19"/>
          <w:szCs w:val="19"/>
          <w:lang w:eastAsia="fr-FR"/>
        </w:rPr>
        <w:br/>
        <w:t>― </w:t>
      </w:r>
      <w:hyperlink r:id="rId523" w:history="1">
        <w:r w:rsidRPr="00874A27">
          <w:rPr>
            <w:rFonts w:ascii="Arial" w:eastAsia="Times New Roman" w:hAnsi="Arial" w:cs="Arial"/>
            <w:color w:val="336699"/>
            <w:sz w:val="19"/>
            <w:szCs w:val="19"/>
            <w:u w:val="single"/>
            <w:lang w:eastAsia="fr-FR"/>
          </w:rPr>
          <w:t>loi n° 2000-614 du 5 juillet 2000</w:t>
        </w:r>
      </w:hyperlink>
      <w:r w:rsidRPr="00874A27">
        <w:rPr>
          <w:rFonts w:ascii="Arial" w:eastAsia="Times New Roman" w:hAnsi="Arial" w:cs="Arial"/>
          <w:color w:val="000000"/>
          <w:sz w:val="19"/>
          <w:szCs w:val="19"/>
          <w:lang w:eastAsia="fr-FR"/>
        </w:rPr>
        <w:t> relative à l'accueil et à l'habitat des gens du voyage, pour ce qui relève des règles relatives à l'habitation et à la construction ;</w:t>
      </w:r>
      <w:r w:rsidRPr="00874A27">
        <w:rPr>
          <w:rFonts w:ascii="Arial" w:eastAsia="Times New Roman" w:hAnsi="Arial" w:cs="Arial"/>
          <w:color w:val="000000"/>
          <w:sz w:val="19"/>
          <w:szCs w:val="19"/>
          <w:lang w:eastAsia="fr-FR"/>
        </w:rPr>
        <w:br/>
        <w:t>― </w:t>
      </w:r>
      <w:hyperlink r:id="rId524" w:history="1">
        <w:r w:rsidRPr="00874A27">
          <w:rPr>
            <w:rFonts w:ascii="Arial" w:eastAsia="Times New Roman" w:hAnsi="Arial" w:cs="Arial"/>
            <w:color w:val="336699"/>
            <w:sz w:val="19"/>
            <w:szCs w:val="19"/>
            <w:u w:val="single"/>
            <w:lang w:eastAsia="fr-FR"/>
          </w:rPr>
          <w:t>loi n° 2003-710 du 1er août 2003</w:t>
        </w:r>
      </w:hyperlink>
      <w:r w:rsidRPr="00874A27">
        <w:rPr>
          <w:rFonts w:ascii="Arial" w:eastAsia="Times New Roman" w:hAnsi="Arial" w:cs="Arial"/>
          <w:color w:val="000000"/>
          <w:sz w:val="19"/>
          <w:szCs w:val="19"/>
          <w:lang w:eastAsia="fr-FR"/>
        </w:rPr>
        <w:t> d'orientation et de programmation pour la ville et la rénovation urbaine, pour ce qui relève des règles relatives à l'habitation, la construction et la rénovation urbaine.</w:t>
      </w:r>
      <w:r w:rsidRPr="00874A27">
        <w:rPr>
          <w:rFonts w:ascii="Arial" w:eastAsia="Times New Roman" w:hAnsi="Arial" w:cs="Arial"/>
          <w:color w:val="000000"/>
          <w:sz w:val="19"/>
          <w:szCs w:val="19"/>
          <w:lang w:eastAsia="fr-FR"/>
        </w:rPr>
        <w:br/>
        <w:t>La nouvelle rédaction des dispositions législatives du code de la construction et de l'habitation et la codification des lois mentionnées aux troisième à septième alinéas sont effectuées à droit constant après intégration des dispositions issues de la présente loi et sous réserve des modifications qui seraient rendues nécessaires :</w:t>
      </w:r>
      <w:r w:rsidRPr="00874A27">
        <w:rPr>
          <w:rFonts w:ascii="Arial" w:eastAsia="Times New Roman" w:hAnsi="Arial" w:cs="Arial"/>
          <w:color w:val="000000"/>
          <w:sz w:val="19"/>
          <w:szCs w:val="19"/>
          <w:lang w:eastAsia="fr-FR"/>
        </w:rPr>
        <w:br/>
        <w:t>1° Pour assurer le respect de la hiérarchie des normes, la cohérence rédactionnelle des textes ainsi rassemblés, harmoniser l'état du droit, remédier aux éventuelles erreurs et abroger les dispositions devenues sans objet ;</w:t>
      </w:r>
      <w:r w:rsidRPr="00874A27">
        <w:rPr>
          <w:rFonts w:ascii="Arial" w:eastAsia="Times New Roman" w:hAnsi="Arial" w:cs="Arial"/>
          <w:color w:val="000000"/>
          <w:sz w:val="19"/>
          <w:szCs w:val="19"/>
          <w:lang w:eastAsia="fr-FR"/>
        </w:rPr>
        <w:br/>
        <w:t>2° Pour étendre, le cas échéant avec les adaptations nécessaires, les dispositions ainsi codifiées à la Nouvelle-Calédonie, à la Polynésie française, aux Terres australes et antarctiques françaises et aux îles Wallis et Futuna ainsi que permettre les adaptations nécessaires à l'application de ces dispositions à Saint-Barthélemy, à Saint-Martin et à Saint-Pierre-et-Miquelon ;</w:t>
      </w:r>
      <w:r w:rsidRPr="00874A27">
        <w:rPr>
          <w:rFonts w:ascii="Arial" w:eastAsia="Times New Roman" w:hAnsi="Arial" w:cs="Arial"/>
          <w:color w:val="000000"/>
          <w:sz w:val="19"/>
          <w:szCs w:val="19"/>
          <w:lang w:eastAsia="fr-FR"/>
        </w:rPr>
        <w:br/>
        <w:t>3° Pour étendre le cas échéant aux départements et régions d'outre-mer les dispositions ainsi codifiées issues des lois qui n'ont pas été rendues applicables à ces collectivités.</w:t>
      </w:r>
      <w:r w:rsidRPr="00874A27">
        <w:rPr>
          <w:rFonts w:ascii="Arial" w:eastAsia="Times New Roman" w:hAnsi="Arial" w:cs="Arial"/>
          <w:color w:val="000000"/>
          <w:sz w:val="19"/>
          <w:szCs w:val="19"/>
          <w:lang w:eastAsia="fr-FR"/>
        </w:rPr>
        <w:br/>
        <w:t>Les ordonnances prévues au présent article doivent être prises dans un délai de vingt-quatre mois suivant la publication de la présente loi.</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Pour chaque ordonnance, un projet de loi de ratification est déposé devant le Parlement dans un délai de trois mois à compter de sa publication.</w:t>
      </w:r>
    </w:p>
    <w:p w:rsidR="00874A27" w:rsidRPr="00874A27" w:rsidRDefault="00874A27" w:rsidP="00874A27">
      <w:pPr>
        <w:numPr>
          <w:ilvl w:val="0"/>
          <w:numId w:val="4"/>
        </w:numPr>
        <w:shd w:val="clear" w:color="auto" w:fill="FFFFFF"/>
        <w:spacing w:before="100" w:beforeAutospacing="1" w:after="100" w:afterAutospacing="1" w:line="240" w:lineRule="auto"/>
        <w:ind w:left="18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TITRE IV : MODERNISER LES DOCUMENTS DE PLANIFICATION ET D'URBANISME</w:t>
      </w:r>
    </w:p>
    <w:p w:rsidR="00874A27" w:rsidRPr="00874A27" w:rsidRDefault="00874A27" w:rsidP="00874A27">
      <w:pPr>
        <w:numPr>
          <w:ilvl w:val="1"/>
          <w:numId w:val="4"/>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Ier : Développement de la planification stratégique</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25" w:name="JORFARTI000028773024"/>
      <w:bookmarkEnd w:id="125"/>
      <w:r w:rsidRPr="00874A27">
        <w:rPr>
          <w:rFonts w:ascii="Arial" w:eastAsia="Times New Roman" w:hAnsi="Arial" w:cs="Arial"/>
          <w:b/>
          <w:bCs/>
          <w:color w:val="000000"/>
          <w:sz w:val="23"/>
          <w:szCs w:val="23"/>
          <w:lang w:eastAsia="fr-FR"/>
        </w:rPr>
        <w:t>Article 126 </w:t>
      </w:r>
      <w:hyperlink r:id="rId525" w:tooltip="En savoir plus sur l'article 12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 la fin de la </w:t>
      </w:r>
      <w:hyperlink r:id="rId526" w:history="1">
        <w:r w:rsidRPr="00874A27">
          <w:rPr>
            <w:rFonts w:ascii="Arial" w:eastAsia="Times New Roman" w:hAnsi="Arial" w:cs="Arial"/>
            <w:color w:val="336699"/>
            <w:sz w:val="19"/>
            <w:szCs w:val="19"/>
            <w:u w:val="single"/>
            <w:lang w:eastAsia="fr-FR"/>
          </w:rPr>
          <w:t>seconde phrase du troisième alinéa du V de l'article 19 de la loi n° 2010-788 du 12 juillet 2010 </w:t>
        </w:r>
      </w:hyperlink>
      <w:r w:rsidRPr="00874A27">
        <w:rPr>
          <w:rFonts w:ascii="Arial" w:eastAsia="Times New Roman" w:hAnsi="Arial" w:cs="Arial"/>
          <w:color w:val="000000"/>
          <w:sz w:val="19"/>
          <w:szCs w:val="19"/>
          <w:lang w:eastAsia="fr-FR"/>
        </w:rPr>
        <w:t>portant engagement national pour l'environnement, l'année : « 2016 » est remplacée par l'année : « 2017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26" w:name="JORFARTI000028773026"/>
      <w:bookmarkEnd w:id="126"/>
      <w:r w:rsidRPr="00874A27">
        <w:rPr>
          <w:rFonts w:ascii="Arial" w:eastAsia="Times New Roman" w:hAnsi="Arial" w:cs="Arial"/>
          <w:b/>
          <w:bCs/>
          <w:color w:val="000000"/>
          <w:sz w:val="23"/>
          <w:szCs w:val="23"/>
          <w:lang w:eastAsia="fr-FR"/>
        </w:rPr>
        <w:t>Article 127 </w:t>
      </w:r>
      <w:hyperlink r:id="rId527" w:tooltip="En savoir plus sur l'article 12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2124-18 du code général de la propriété des personnes publiques est ainsi modifié :</w:t>
      </w:r>
      <w:r w:rsidRPr="00874A27">
        <w:rPr>
          <w:rFonts w:ascii="Arial" w:eastAsia="Times New Roman" w:hAnsi="Arial" w:cs="Arial"/>
          <w:color w:val="000000"/>
          <w:sz w:val="19"/>
          <w:szCs w:val="19"/>
          <w:lang w:eastAsia="fr-FR"/>
        </w:rPr>
        <w:br/>
        <w:t>1° Le deuxième alinéa est ainsi rédigé :</w:t>
      </w:r>
      <w:r w:rsidRPr="00874A27">
        <w:rPr>
          <w:rFonts w:ascii="Arial" w:eastAsia="Times New Roman" w:hAnsi="Arial" w:cs="Arial"/>
          <w:color w:val="000000"/>
          <w:sz w:val="19"/>
          <w:szCs w:val="19"/>
          <w:lang w:eastAsia="fr-FR"/>
        </w:rPr>
        <w:br/>
        <w:t>« Du côté du val, les ouvrages, plantations, constructions, excavations et clôtures situés à moins de 19,50 mètres du pied des levées sont soumis à autorisation préfectorale. L'autorisation prescrit les mesures nécessaires pour assurer, en toutes circonstances, la sécurité des biens et des personnes, l'accès aux ouvrages de protection, leur entretien ou leur fonctionnement. » ;</w:t>
      </w:r>
      <w:r w:rsidRPr="00874A27">
        <w:rPr>
          <w:rFonts w:ascii="Arial" w:eastAsia="Times New Roman" w:hAnsi="Arial" w:cs="Arial"/>
          <w:color w:val="000000"/>
          <w:sz w:val="19"/>
          <w:szCs w:val="19"/>
          <w:lang w:eastAsia="fr-FR"/>
        </w:rPr>
        <w:br/>
        <w:t>2° Le troisième alinéa est supprimé.</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27" w:name="JORFARTI000028773030"/>
      <w:bookmarkEnd w:id="127"/>
      <w:r w:rsidRPr="00874A27">
        <w:rPr>
          <w:rFonts w:ascii="Arial" w:eastAsia="Times New Roman" w:hAnsi="Arial" w:cs="Arial"/>
          <w:b/>
          <w:bCs/>
          <w:color w:val="000000"/>
          <w:sz w:val="23"/>
          <w:szCs w:val="23"/>
          <w:lang w:eastAsia="fr-FR"/>
        </w:rPr>
        <w:t>Article 128 </w:t>
      </w:r>
      <w:hyperlink r:id="rId528" w:tooltip="En savoir plus sur l'article 12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le </w:t>
      </w:r>
      <w:hyperlink r:id="rId529" w:history="1">
        <w:r w:rsidRPr="00874A27">
          <w:rPr>
            <w:rFonts w:ascii="Arial" w:eastAsia="Times New Roman" w:hAnsi="Arial" w:cs="Arial"/>
            <w:color w:val="336699"/>
            <w:sz w:val="19"/>
            <w:szCs w:val="19"/>
            <w:u w:val="single"/>
            <w:lang w:eastAsia="fr-FR"/>
          </w:rPr>
          <w:t>e de l'article L. 422-2 du code de l'urbanisme</w:t>
        </w:r>
      </w:hyperlink>
      <w:r w:rsidRPr="00874A27">
        <w:rPr>
          <w:rFonts w:ascii="Arial" w:eastAsia="Times New Roman" w:hAnsi="Arial" w:cs="Arial"/>
          <w:color w:val="000000"/>
          <w:sz w:val="19"/>
          <w:szCs w:val="19"/>
          <w:lang w:eastAsia="fr-FR"/>
        </w:rPr>
        <w:t>, il est inséré un f ainsi rédigé :</w:t>
      </w:r>
      <w:r w:rsidRPr="00874A27">
        <w:rPr>
          <w:rFonts w:ascii="Arial" w:eastAsia="Times New Roman" w:hAnsi="Arial" w:cs="Arial"/>
          <w:color w:val="000000"/>
          <w:sz w:val="19"/>
          <w:szCs w:val="19"/>
          <w:lang w:eastAsia="fr-FR"/>
        </w:rPr>
        <w:br/>
        <w:t>« f) Les ouvrages, constructions ou installations mentionnés à l'</w:t>
      </w:r>
      <w:hyperlink r:id="rId530" w:history="1">
        <w:r w:rsidRPr="00874A27">
          <w:rPr>
            <w:rFonts w:ascii="Arial" w:eastAsia="Times New Roman" w:hAnsi="Arial" w:cs="Arial"/>
            <w:color w:val="336699"/>
            <w:sz w:val="19"/>
            <w:szCs w:val="19"/>
            <w:u w:val="single"/>
            <w:lang w:eastAsia="fr-FR"/>
          </w:rPr>
          <w:t>article L. 2124-18 du code général de la propriété des personnes publiques</w:t>
        </w:r>
      </w:hyperlink>
      <w:r w:rsidRPr="00874A27">
        <w:rPr>
          <w:rFonts w:ascii="Arial" w:eastAsia="Times New Roman" w:hAnsi="Arial" w:cs="Arial"/>
          <w:color w:val="000000"/>
          <w:sz w:val="19"/>
          <w:szCs w:val="19"/>
          <w:lang w:eastAsia="fr-FR"/>
        </w:rPr>
        <w:t>.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28" w:name="JORFARTI000028773033"/>
      <w:bookmarkEnd w:id="128"/>
      <w:r w:rsidRPr="00874A27">
        <w:rPr>
          <w:rFonts w:ascii="Arial" w:eastAsia="Times New Roman" w:hAnsi="Arial" w:cs="Arial"/>
          <w:b/>
          <w:bCs/>
          <w:color w:val="000000"/>
          <w:sz w:val="23"/>
          <w:szCs w:val="23"/>
          <w:lang w:eastAsia="fr-FR"/>
        </w:rPr>
        <w:t>Article 129 </w:t>
      </w:r>
      <w:hyperlink r:id="rId531" w:tooltip="En savoir plus sur l'article 12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même code est ainsi modifié :</w:t>
      </w:r>
      <w:r w:rsidRPr="00874A27">
        <w:rPr>
          <w:rFonts w:ascii="Arial" w:eastAsia="Times New Roman" w:hAnsi="Arial" w:cs="Arial"/>
          <w:color w:val="000000"/>
          <w:sz w:val="19"/>
          <w:szCs w:val="19"/>
          <w:lang w:eastAsia="fr-FR"/>
        </w:rPr>
        <w:br/>
        <w:t>1° L'article L. 111-1-1 est ainsi rédigé :</w:t>
      </w:r>
      <w:r w:rsidRPr="00874A27">
        <w:rPr>
          <w:rFonts w:ascii="Arial" w:eastAsia="Times New Roman" w:hAnsi="Arial" w:cs="Arial"/>
          <w:color w:val="000000"/>
          <w:sz w:val="19"/>
          <w:szCs w:val="19"/>
          <w:lang w:eastAsia="fr-FR"/>
        </w:rPr>
        <w:br/>
        <w:t>« Art. L. 111-1-1. - I. ― Les schémas de cohérence territoriale et les schémas de secteur sont compatibles, s'il y a lieu, avec :</w:t>
      </w:r>
      <w:r w:rsidRPr="00874A27">
        <w:rPr>
          <w:rFonts w:ascii="Arial" w:eastAsia="Times New Roman" w:hAnsi="Arial" w:cs="Arial"/>
          <w:color w:val="000000"/>
          <w:sz w:val="19"/>
          <w:szCs w:val="19"/>
          <w:lang w:eastAsia="fr-FR"/>
        </w:rPr>
        <w:br/>
        <w:t>« 1° Les dispositions particulières aux zones de montagne et au littoral prévues aux articles L. 145-1 à L. 146-9 ;</w:t>
      </w:r>
      <w:r w:rsidRPr="00874A27">
        <w:rPr>
          <w:rFonts w:ascii="Arial" w:eastAsia="Times New Roman" w:hAnsi="Arial" w:cs="Arial"/>
          <w:color w:val="000000"/>
          <w:sz w:val="19"/>
          <w:szCs w:val="19"/>
          <w:lang w:eastAsia="fr-FR"/>
        </w:rPr>
        <w:br/>
        <w:t>« 2° Les dispositions particulières aux zones de bruit des aérodromes prévues aux articles L. 147-1 à L. 147-8 ;</w:t>
      </w:r>
      <w:r w:rsidRPr="00874A27">
        <w:rPr>
          <w:rFonts w:ascii="Arial" w:eastAsia="Times New Roman" w:hAnsi="Arial" w:cs="Arial"/>
          <w:color w:val="000000"/>
          <w:sz w:val="19"/>
          <w:szCs w:val="19"/>
          <w:lang w:eastAsia="fr-FR"/>
        </w:rPr>
        <w:br/>
        <w:t>« 3° Le schéma directeur de la région d'Ile-de-France ;</w:t>
      </w:r>
      <w:r w:rsidRPr="00874A27">
        <w:rPr>
          <w:rFonts w:ascii="Arial" w:eastAsia="Times New Roman" w:hAnsi="Arial" w:cs="Arial"/>
          <w:color w:val="000000"/>
          <w:sz w:val="19"/>
          <w:szCs w:val="19"/>
          <w:lang w:eastAsia="fr-FR"/>
        </w:rPr>
        <w:br/>
        <w:t>« 4° Les schémas d'aménagement régional de la Guadeloupe, la Guyane, la Martinique, Mayotte et La Réunion ;</w:t>
      </w:r>
      <w:r w:rsidRPr="00874A27">
        <w:rPr>
          <w:rFonts w:ascii="Arial" w:eastAsia="Times New Roman" w:hAnsi="Arial" w:cs="Arial"/>
          <w:color w:val="000000"/>
          <w:sz w:val="19"/>
          <w:szCs w:val="19"/>
          <w:lang w:eastAsia="fr-FR"/>
        </w:rPr>
        <w:br/>
        <w:t>« 5° Le plan d'aménagement et de développement durable de Corse ;</w:t>
      </w:r>
      <w:r w:rsidRPr="00874A27">
        <w:rPr>
          <w:rFonts w:ascii="Arial" w:eastAsia="Times New Roman" w:hAnsi="Arial" w:cs="Arial"/>
          <w:color w:val="000000"/>
          <w:sz w:val="19"/>
          <w:szCs w:val="19"/>
          <w:lang w:eastAsia="fr-FR"/>
        </w:rPr>
        <w:br/>
        <w:t>« 6° Les chartes des parcs naturels régionaux et des parcs nationaux ;</w:t>
      </w:r>
      <w:r w:rsidRPr="00874A27">
        <w:rPr>
          <w:rFonts w:ascii="Arial" w:eastAsia="Times New Roman" w:hAnsi="Arial" w:cs="Arial"/>
          <w:color w:val="000000"/>
          <w:sz w:val="19"/>
          <w:szCs w:val="19"/>
          <w:lang w:eastAsia="fr-FR"/>
        </w:rPr>
        <w:br/>
        <w:t>« 7° Les orientations fondamentales d'une gestion équilibrée de la ressource en eau et les objectifs de qualité et de quantité des eaux définis par les schémas directeurs d'aménagement et de gestion des eaux ;</w:t>
      </w:r>
      <w:r w:rsidRPr="00874A27">
        <w:rPr>
          <w:rFonts w:ascii="Arial" w:eastAsia="Times New Roman" w:hAnsi="Arial" w:cs="Arial"/>
          <w:color w:val="000000"/>
          <w:sz w:val="19"/>
          <w:szCs w:val="19"/>
          <w:lang w:eastAsia="fr-FR"/>
        </w:rPr>
        <w:br/>
        <w:t>« 8° Les objectifs de protection définis par les schémas d'aménagement et de gestion des eaux ;</w:t>
      </w:r>
      <w:r w:rsidRPr="00874A27">
        <w:rPr>
          <w:rFonts w:ascii="Arial" w:eastAsia="Times New Roman" w:hAnsi="Arial" w:cs="Arial"/>
          <w:color w:val="000000"/>
          <w:sz w:val="19"/>
          <w:szCs w:val="19"/>
          <w:lang w:eastAsia="fr-FR"/>
        </w:rPr>
        <w:br/>
        <w:t>« 9° Les objectifs de gestion des risques d'inondation définis par les plans de gestion des risques d'inondation pris en application de l'</w:t>
      </w:r>
      <w:hyperlink r:id="rId532" w:history="1">
        <w:r w:rsidRPr="00874A27">
          <w:rPr>
            <w:rFonts w:ascii="Arial" w:eastAsia="Times New Roman" w:hAnsi="Arial" w:cs="Arial"/>
            <w:color w:val="336699"/>
            <w:sz w:val="19"/>
            <w:szCs w:val="19"/>
            <w:u w:val="single"/>
            <w:lang w:eastAsia="fr-FR"/>
          </w:rPr>
          <w:t>article L. 566-7 du code de l'environnement</w:t>
        </w:r>
      </w:hyperlink>
      <w:r w:rsidRPr="00874A27">
        <w:rPr>
          <w:rFonts w:ascii="Arial" w:eastAsia="Times New Roman" w:hAnsi="Arial" w:cs="Arial"/>
          <w:color w:val="000000"/>
          <w:sz w:val="19"/>
          <w:szCs w:val="19"/>
          <w:lang w:eastAsia="fr-FR"/>
        </w:rPr>
        <w:t>, ainsi qu'avec les orientations fondamentales et les dispositions de ces plans définies en application des 1° et 3° du même article L. 566-7, lorsque ces plans sont approuvés ;</w:t>
      </w:r>
      <w:r w:rsidRPr="00874A27">
        <w:rPr>
          <w:rFonts w:ascii="Arial" w:eastAsia="Times New Roman" w:hAnsi="Arial" w:cs="Arial"/>
          <w:color w:val="000000"/>
          <w:sz w:val="19"/>
          <w:szCs w:val="19"/>
          <w:lang w:eastAsia="fr-FR"/>
        </w:rPr>
        <w:br/>
        <w:t>« 10° Les directives de protection et de mise en valeur des paysages.</w:t>
      </w:r>
      <w:r w:rsidRPr="00874A27">
        <w:rPr>
          <w:rFonts w:ascii="Arial" w:eastAsia="Times New Roman" w:hAnsi="Arial" w:cs="Arial"/>
          <w:color w:val="000000"/>
          <w:sz w:val="19"/>
          <w:szCs w:val="19"/>
          <w:lang w:eastAsia="fr-FR"/>
        </w:rPr>
        <w:br/>
        <w:t>« II. ― Les schémas de cohérence territoriale et les schémas de secteur prennent en compte, s'il y a lieu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1° Les schémas régionaux de cohérence écologique ;</w:t>
      </w:r>
      <w:r w:rsidRPr="00874A27">
        <w:rPr>
          <w:rFonts w:ascii="Arial" w:eastAsia="Times New Roman" w:hAnsi="Arial" w:cs="Arial"/>
          <w:color w:val="000000"/>
          <w:sz w:val="19"/>
          <w:szCs w:val="19"/>
          <w:lang w:eastAsia="fr-FR"/>
        </w:rPr>
        <w:br/>
        <w:t>« 2° Les plans climat-énergie territoriaux ;</w:t>
      </w:r>
      <w:r w:rsidRPr="00874A27">
        <w:rPr>
          <w:rFonts w:ascii="Arial" w:eastAsia="Times New Roman" w:hAnsi="Arial" w:cs="Arial"/>
          <w:color w:val="000000"/>
          <w:sz w:val="19"/>
          <w:szCs w:val="19"/>
          <w:lang w:eastAsia="fr-FR"/>
        </w:rPr>
        <w:br/>
        <w:t>« 3° Les schémas régionaux de développement de l'aquaculture marine ;</w:t>
      </w:r>
      <w:r w:rsidRPr="00874A27">
        <w:rPr>
          <w:rFonts w:ascii="Arial" w:eastAsia="Times New Roman" w:hAnsi="Arial" w:cs="Arial"/>
          <w:color w:val="000000"/>
          <w:sz w:val="19"/>
          <w:szCs w:val="19"/>
          <w:lang w:eastAsia="fr-FR"/>
        </w:rPr>
        <w:br/>
        <w:t>« 4° Les programmes d'équipement de l'Etat, des collectivités territoriales et des établissements et services publics ;</w:t>
      </w:r>
      <w:r w:rsidRPr="00874A27">
        <w:rPr>
          <w:rFonts w:ascii="Arial" w:eastAsia="Times New Roman" w:hAnsi="Arial" w:cs="Arial"/>
          <w:color w:val="000000"/>
          <w:sz w:val="19"/>
          <w:szCs w:val="19"/>
          <w:lang w:eastAsia="fr-FR"/>
        </w:rPr>
        <w:br/>
        <w:t>« 5° Les schémas régionaux des carrières.</w:t>
      </w:r>
      <w:r w:rsidRPr="00874A27">
        <w:rPr>
          <w:rFonts w:ascii="Arial" w:eastAsia="Times New Roman" w:hAnsi="Arial" w:cs="Arial"/>
          <w:color w:val="000000"/>
          <w:sz w:val="19"/>
          <w:szCs w:val="19"/>
          <w:lang w:eastAsia="fr-FR"/>
        </w:rPr>
        <w:br/>
        <w:t>« III. ― Lorsqu'un des documents mentionnés aux I et II du présent article est approuvé après l'approbation d'un schéma de cohérence territoriale ou d'un schéma de secteur, ce dernier doit, si nécessaire, être rendu compatible avec ce document ou prendre en compte ce dernier dans un délai de trois ans.</w:t>
      </w:r>
      <w:r w:rsidRPr="00874A27">
        <w:rPr>
          <w:rFonts w:ascii="Arial" w:eastAsia="Times New Roman" w:hAnsi="Arial" w:cs="Arial"/>
          <w:color w:val="000000"/>
          <w:sz w:val="19"/>
          <w:szCs w:val="19"/>
          <w:lang w:eastAsia="fr-FR"/>
        </w:rPr>
        <w:br/>
        <w:t>« IV. ― Les plans locaux d'urbanisme et les documents en tenant lieu ainsi que les cartes communales doivent être compatibles avec les schémas de cohérence territoriale et les schémas de secteur.</w:t>
      </w:r>
      <w:r w:rsidRPr="00874A27">
        <w:rPr>
          <w:rFonts w:ascii="Arial" w:eastAsia="Times New Roman" w:hAnsi="Arial" w:cs="Arial"/>
          <w:color w:val="000000"/>
          <w:sz w:val="19"/>
          <w:szCs w:val="19"/>
          <w:lang w:eastAsia="fr-FR"/>
        </w:rPr>
        <w:br/>
        <w:t>« Lorsqu'un schéma de cohérence territoriale ou un schéma de secteur est approuvé après l'approbation d'un plan local d'urbanisme, d'un document en tenant lieu ou d'une carte communale, ces derniers doivent, si nécessaire, être rendus compatibles avec le schéma de cohérence territoriale ou le schéma de secteur dans un délai d'un an. Ce délai est porté à trois ans si la mise en compatibilité implique une révision du plan local d'urbanisme ou du document en tenant lieu.</w:t>
      </w:r>
      <w:r w:rsidRPr="00874A27">
        <w:rPr>
          <w:rFonts w:ascii="Arial" w:eastAsia="Times New Roman" w:hAnsi="Arial" w:cs="Arial"/>
          <w:color w:val="000000"/>
          <w:sz w:val="19"/>
          <w:szCs w:val="19"/>
          <w:lang w:eastAsia="fr-FR"/>
        </w:rPr>
        <w:br/>
        <w:t>« En l'absence de schéma de cohérence territoriale, les plans locaux d'urbanisme et les documents en tenant lieu ainsi que les cartes communales doivent être compatibles, s'il y a lieu, avec les documents et objectifs mentionnés au I du présent article et prendre en compte les documents mentionnés au II du présent article.</w:t>
      </w:r>
      <w:r w:rsidRPr="00874A27">
        <w:rPr>
          <w:rFonts w:ascii="Arial" w:eastAsia="Times New Roman" w:hAnsi="Arial" w:cs="Arial"/>
          <w:color w:val="000000"/>
          <w:sz w:val="19"/>
          <w:szCs w:val="19"/>
          <w:lang w:eastAsia="fr-FR"/>
        </w:rPr>
        <w:br/>
        <w:t>« Lorsqu'un de ces documents ou objectifs est approuvé après l'approbation d'un plan local d'urbanisme, d'un document en tenant lieu ou d'une carte communale, ces derniers doivent, si nécessaire, être rendus compatibles ou le prendre en compte dans un délai de trois ans.</w:t>
      </w:r>
      <w:r w:rsidRPr="00874A27">
        <w:rPr>
          <w:rFonts w:ascii="Arial" w:eastAsia="Times New Roman" w:hAnsi="Arial" w:cs="Arial"/>
          <w:color w:val="000000"/>
          <w:sz w:val="19"/>
          <w:szCs w:val="19"/>
          <w:lang w:eastAsia="fr-FR"/>
        </w:rPr>
        <w:br/>
        <w:t>« Les dispositions des directives territoriales d'aménagement qui précisent les modalités d'application des articles L. 145-1 et suivants dans les zones de montagne et des articles L. 146-1 et suivants dans les zones littorales s'appliquent aux personnes et opérations qui y sont mentionnées.</w:t>
      </w:r>
      <w:r w:rsidRPr="00874A27">
        <w:rPr>
          <w:rFonts w:ascii="Arial" w:eastAsia="Times New Roman" w:hAnsi="Arial" w:cs="Arial"/>
          <w:color w:val="000000"/>
          <w:sz w:val="19"/>
          <w:szCs w:val="19"/>
          <w:lang w:eastAsia="fr-FR"/>
        </w:rPr>
        <w:br/>
        <w:t>« V. ― Une directive territoriale d'aménagement peut être modifiée par le représentant de l'Etat dans la région ou, en Corse, sur proposition du conseil exécutif de la collectivité territoriale de Corse. Le projet de modification est soumis par le représentant de l'Etat dans le département à enquête publique, dans les conditions définies au chapitre III du titre II du livre Ier du code de l'environnement, ou, en Corse, par le conseil exécutif aux personnes publiques associées puis à enquête publique et à l'approbation de l'Assemblée de Corse, dans les conditions définies au </w:t>
      </w:r>
      <w:hyperlink r:id="rId533" w:history="1">
        <w:r w:rsidRPr="00874A27">
          <w:rPr>
            <w:rFonts w:ascii="Arial" w:eastAsia="Times New Roman" w:hAnsi="Arial" w:cs="Arial"/>
            <w:color w:val="336699"/>
            <w:sz w:val="19"/>
            <w:szCs w:val="19"/>
            <w:u w:val="single"/>
            <w:lang w:eastAsia="fr-FR"/>
          </w:rPr>
          <w:t>I de l'article L. 4424-14 du code général des collectivités territoriales</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Lorsque la modification ne porte que sur un ou plusieurs établissements publics de coopération intercommunale compétents en matière de plan local d'urbanisme ou sur une ou plusieurs communes non membres d'un tel établissement public, l'enquête publique peut n'être organisée que sur le territoire de ces établissements publics ou de ces communes. » ;</w:t>
      </w:r>
      <w:r w:rsidRPr="00874A27">
        <w:rPr>
          <w:rFonts w:ascii="Arial" w:eastAsia="Times New Roman" w:hAnsi="Arial" w:cs="Arial"/>
          <w:color w:val="000000"/>
          <w:sz w:val="19"/>
          <w:szCs w:val="19"/>
          <w:lang w:eastAsia="fr-FR"/>
        </w:rPr>
        <w:br/>
        <w:t>2° Le premier alinéa de l'article L. 111-6-1 est ainsi rédigé :</w:t>
      </w:r>
      <w:r w:rsidRPr="00874A27">
        <w:rPr>
          <w:rFonts w:ascii="Arial" w:eastAsia="Times New Roman" w:hAnsi="Arial" w:cs="Arial"/>
          <w:color w:val="000000"/>
          <w:sz w:val="19"/>
          <w:szCs w:val="19"/>
          <w:lang w:eastAsia="fr-FR"/>
        </w:rPr>
        <w:br/>
        <w:t>« Nonobstant toute disposition contraire du plan local d'urbanisme, l'emprise au sol des surfaces, bâties ou non, affectées aux aires de stationnement, annexes d'un commerce soumis à l'autorisation d'exploitation commerciale prévue aux </w:t>
      </w:r>
      <w:hyperlink r:id="rId534" w:history="1">
        <w:r w:rsidRPr="00874A27">
          <w:rPr>
            <w:rFonts w:ascii="Arial" w:eastAsia="Times New Roman" w:hAnsi="Arial" w:cs="Arial"/>
            <w:color w:val="336699"/>
            <w:sz w:val="19"/>
            <w:szCs w:val="19"/>
            <w:u w:val="single"/>
            <w:lang w:eastAsia="fr-FR"/>
          </w:rPr>
          <w:t>1° et 4° du I de l'article L. 752-1 du code de commerce</w:t>
        </w:r>
      </w:hyperlink>
      <w:r w:rsidRPr="00874A27">
        <w:rPr>
          <w:rFonts w:ascii="Arial" w:eastAsia="Times New Roman" w:hAnsi="Arial" w:cs="Arial"/>
          <w:color w:val="000000"/>
          <w:sz w:val="19"/>
          <w:szCs w:val="19"/>
          <w:lang w:eastAsia="fr-FR"/>
        </w:rPr>
        <w:t> et à l'autorisation prévue au </w:t>
      </w:r>
      <w:hyperlink r:id="rId535" w:history="1">
        <w:r w:rsidRPr="00874A27">
          <w:rPr>
            <w:rFonts w:ascii="Arial" w:eastAsia="Times New Roman" w:hAnsi="Arial" w:cs="Arial"/>
            <w:color w:val="336699"/>
            <w:sz w:val="19"/>
            <w:szCs w:val="19"/>
            <w:u w:val="single"/>
            <w:lang w:eastAsia="fr-FR"/>
          </w:rPr>
          <w:t>1° de l'article L. 212-7 du code du cinéma et de l'image animée</w:t>
        </w:r>
      </w:hyperlink>
      <w:r w:rsidRPr="00874A27">
        <w:rPr>
          <w:rFonts w:ascii="Arial" w:eastAsia="Times New Roman" w:hAnsi="Arial" w:cs="Arial"/>
          <w:color w:val="000000"/>
          <w:sz w:val="19"/>
          <w:szCs w:val="19"/>
          <w:lang w:eastAsia="fr-FR"/>
        </w:rPr>
        <w:t>, ne peut excéder un plafond correspondant aux trois quarts de la surface de plancher des bâtiments affectés au commerce. Le plan local d'urbanisme peut augmenter ce plafond pour le fixer à un niveau compris entre les trois quarts et la totalité de la surface de plancher affectée au commerce. Les espaces paysagers en pleine terre, les surfaces réservées à l'auto-partage et les places de stationnement dédiées à l'alimentation des véhicules électriques ou hybrides rechargeables sont déduits de l'emprise au sol des surfaces affectées au stationnement. La surface des places de stationnement non imperméabilisées compte pour la moitié de leur surface. Ces dispositions s'appliquent aux bâtiments dont le permis de construire a été déposé à compter du 1er janvier 2016. » ;</w:t>
      </w:r>
      <w:r w:rsidRPr="00874A27">
        <w:rPr>
          <w:rFonts w:ascii="Arial" w:eastAsia="Times New Roman" w:hAnsi="Arial" w:cs="Arial"/>
          <w:color w:val="000000"/>
          <w:sz w:val="19"/>
          <w:szCs w:val="19"/>
          <w:lang w:eastAsia="fr-FR"/>
        </w:rPr>
        <w:br/>
        <w:t>3° Les 1° à 3° du II de l'article L. 121-4 sont remplacés par des 1° et 2° ainsi rédigés :</w:t>
      </w:r>
      <w:r w:rsidRPr="00874A27">
        <w:rPr>
          <w:rFonts w:ascii="Arial" w:eastAsia="Times New Roman" w:hAnsi="Arial" w:cs="Arial"/>
          <w:color w:val="000000"/>
          <w:sz w:val="19"/>
          <w:szCs w:val="19"/>
          <w:lang w:eastAsia="fr-FR"/>
        </w:rPr>
        <w:br/>
        <w:t>« 1° Les syndicats mixtes de transports créés en application de l'article L. 1231-10 du code des transports, lorsque le schéma est élaboré par un établissement public qui n'exerce pas les compétences définies aux articles L. 1231-10 et L. 1231-11 du même code ;</w:t>
      </w:r>
      <w:r w:rsidRPr="00874A27">
        <w:rPr>
          <w:rFonts w:ascii="Arial" w:eastAsia="Times New Roman" w:hAnsi="Arial" w:cs="Arial"/>
          <w:color w:val="000000"/>
          <w:sz w:val="19"/>
          <w:szCs w:val="19"/>
          <w:lang w:eastAsia="fr-FR"/>
        </w:rPr>
        <w:br/>
        <w:t>« 2° Les établissements publics chargés de l'élaboration, de la gestion et de l'approbation des schémas de cohérence territoriale limitrophes. » ;</w:t>
      </w:r>
      <w:r w:rsidRPr="00874A27">
        <w:rPr>
          <w:rFonts w:ascii="Arial" w:eastAsia="Times New Roman" w:hAnsi="Arial" w:cs="Arial"/>
          <w:color w:val="000000"/>
          <w:sz w:val="19"/>
          <w:szCs w:val="19"/>
          <w:lang w:eastAsia="fr-FR"/>
        </w:rPr>
        <w:br/>
        <w:t>4° Le premier alinéa de l'article L. 122-1-3 est ainsi modifié :</w:t>
      </w:r>
      <w:r w:rsidRPr="00874A27">
        <w:rPr>
          <w:rFonts w:ascii="Arial" w:eastAsia="Times New Roman" w:hAnsi="Arial" w:cs="Arial"/>
          <w:color w:val="000000"/>
          <w:sz w:val="19"/>
          <w:szCs w:val="19"/>
          <w:lang w:eastAsia="fr-FR"/>
        </w:rPr>
        <w:br/>
        <w:t>a) Après le mot : « électroniques, », sont insérés les mots : « de qualité paysagère, » et les mots : « et des paysages, de préservation » sont remplacés par les mots : « , de préservation et de mise en valeur » ;</w:t>
      </w:r>
      <w:r w:rsidRPr="00874A27">
        <w:rPr>
          <w:rFonts w:ascii="Arial" w:eastAsia="Times New Roman" w:hAnsi="Arial" w:cs="Arial"/>
          <w:color w:val="000000"/>
          <w:sz w:val="19"/>
          <w:szCs w:val="19"/>
          <w:lang w:eastAsia="fr-FR"/>
        </w:rPr>
        <w:br/>
        <w:t>b) Est ajoutée une phrase ainsi rédigée :</w:t>
      </w:r>
      <w:r w:rsidRPr="00874A27">
        <w:rPr>
          <w:rFonts w:ascii="Arial" w:eastAsia="Times New Roman" w:hAnsi="Arial" w:cs="Arial"/>
          <w:color w:val="000000"/>
          <w:sz w:val="19"/>
          <w:szCs w:val="19"/>
          <w:lang w:eastAsia="fr-FR"/>
        </w:rPr>
        <w:br/>
        <w:t>« En matière de déplacements, ces objectifs intègrent une approche qualitative prenant en compte les temps de déplacement.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5° L'article L. 122-1-5 est ainsi modifié :</w:t>
      </w:r>
      <w:r w:rsidRPr="00874A27">
        <w:rPr>
          <w:rFonts w:ascii="Arial" w:eastAsia="Times New Roman" w:hAnsi="Arial" w:cs="Arial"/>
          <w:color w:val="000000"/>
          <w:sz w:val="19"/>
          <w:szCs w:val="19"/>
          <w:lang w:eastAsia="fr-FR"/>
        </w:rPr>
        <w:br/>
        <w:t>a) Le premier alinéa du II est complété par une phrase ainsi rédigée :</w:t>
      </w:r>
      <w:r w:rsidRPr="00874A27">
        <w:rPr>
          <w:rFonts w:ascii="Arial" w:eastAsia="Times New Roman" w:hAnsi="Arial" w:cs="Arial"/>
          <w:color w:val="000000"/>
          <w:sz w:val="19"/>
          <w:szCs w:val="19"/>
          <w:lang w:eastAsia="fr-FR"/>
        </w:rPr>
        <w:br/>
        <w:t>« Il transpose les dispositions pertinentes des chartes de parcs naturels régionaux et leurs délimitations cartographiques à une échelle appropriée, afin de permettre leur déclinaison dans les plans locaux d'urbanisme ou les documents en tenant lieu et les cartes communales. » ;</w:t>
      </w:r>
      <w:r w:rsidRPr="00874A27">
        <w:rPr>
          <w:rFonts w:ascii="Arial" w:eastAsia="Times New Roman" w:hAnsi="Arial" w:cs="Arial"/>
          <w:color w:val="000000"/>
          <w:sz w:val="19"/>
          <w:szCs w:val="19"/>
          <w:lang w:eastAsia="fr-FR"/>
        </w:rPr>
        <w:br/>
        <w:t>b) Il est ajouté un X ainsi rédigé :</w:t>
      </w:r>
      <w:r w:rsidRPr="00874A27">
        <w:rPr>
          <w:rFonts w:ascii="Arial" w:eastAsia="Times New Roman" w:hAnsi="Arial" w:cs="Arial"/>
          <w:color w:val="000000"/>
          <w:sz w:val="19"/>
          <w:szCs w:val="19"/>
          <w:lang w:eastAsia="fr-FR"/>
        </w:rPr>
        <w:br/>
        <w:t>« X. ― Le document d'orientation et d'objectifs peut préciser les objectifs de qualité paysagère. » ;</w:t>
      </w:r>
      <w:r w:rsidRPr="00874A27">
        <w:rPr>
          <w:rFonts w:ascii="Arial" w:eastAsia="Times New Roman" w:hAnsi="Arial" w:cs="Arial"/>
          <w:color w:val="000000"/>
          <w:sz w:val="19"/>
          <w:szCs w:val="19"/>
          <w:lang w:eastAsia="fr-FR"/>
        </w:rPr>
        <w:br/>
        <w:t>6° L'article L. 122-1-12 est abrogé ;</w:t>
      </w:r>
      <w:r w:rsidRPr="00874A27">
        <w:rPr>
          <w:rFonts w:ascii="Arial" w:eastAsia="Times New Roman" w:hAnsi="Arial" w:cs="Arial"/>
          <w:color w:val="000000"/>
          <w:sz w:val="19"/>
          <w:szCs w:val="19"/>
          <w:lang w:eastAsia="fr-FR"/>
        </w:rPr>
        <w:br/>
        <w:t>7° L'article L. 122-1-14 est abrogé.</w:t>
      </w:r>
      <w:r w:rsidRPr="00874A27">
        <w:rPr>
          <w:rFonts w:ascii="Arial" w:eastAsia="Times New Roman" w:hAnsi="Arial" w:cs="Arial"/>
          <w:color w:val="000000"/>
          <w:sz w:val="19"/>
          <w:szCs w:val="19"/>
          <w:lang w:eastAsia="fr-FR"/>
        </w:rPr>
        <w:br/>
        <w:t>8° L'article L. 122-1-16 est abrogé ;</w:t>
      </w:r>
      <w:r w:rsidRPr="00874A27">
        <w:rPr>
          <w:rFonts w:ascii="Arial" w:eastAsia="Times New Roman" w:hAnsi="Arial" w:cs="Arial"/>
          <w:color w:val="000000"/>
          <w:sz w:val="19"/>
          <w:szCs w:val="19"/>
          <w:lang w:eastAsia="fr-FR"/>
        </w:rPr>
        <w:br/>
        <w:t>9° A l'avant-dernier alinéa de l'article L. 122-11-1, les mots : « associées et aux communes comprises » sont remplacés par les mots : « associées, ainsi qu'aux établissements publics de coopération intercommunale compétents en matière de plan local d'urbanisme et aux communes compris » ;</w:t>
      </w:r>
      <w:r w:rsidRPr="00874A27">
        <w:rPr>
          <w:rFonts w:ascii="Arial" w:eastAsia="Times New Roman" w:hAnsi="Arial" w:cs="Arial"/>
          <w:color w:val="000000"/>
          <w:sz w:val="19"/>
          <w:szCs w:val="19"/>
          <w:lang w:eastAsia="fr-FR"/>
        </w:rPr>
        <w:br/>
        <w:t>10° L'article L. 122-2 est ainsi rédigé :</w:t>
      </w:r>
      <w:r w:rsidRPr="00874A27">
        <w:rPr>
          <w:rFonts w:ascii="Arial" w:eastAsia="Times New Roman" w:hAnsi="Arial" w:cs="Arial"/>
          <w:color w:val="000000"/>
          <w:sz w:val="19"/>
          <w:szCs w:val="19"/>
          <w:lang w:eastAsia="fr-FR"/>
        </w:rPr>
        <w:br/>
        <w:t>« Art. L. 122-2. - I. ― Dans les communes qui ne sont pas couvertes par un schéma de cohérence territoriale applicable, les zones et secteurs suivants ne peuvent être ouverts à l'urbanisation à l'occasion de l'élaboration ou d'une procédure d'évolution d'un document d'urbanisme :</w:t>
      </w:r>
      <w:r w:rsidRPr="00874A27">
        <w:rPr>
          <w:rFonts w:ascii="Arial" w:eastAsia="Times New Roman" w:hAnsi="Arial" w:cs="Arial"/>
          <w:color w:val="000000"/>
          <w:sz w:val="19"/>
          <w:szCs w:val="19"/>
          <w:lang w:eastAsia="fr-FR"/>
        </w:rPr>
        <w:br/>
        <w:t>« 1° Les zones à urbaniser d'un plan local d'urbanisme ou d'un document en tenant lieu délimitées après le 1er juillet 2002 ;</w:t>
      </w:r>
      <w:r w:rsidRPr="00874A27">
        <w:rPr>
          <w:rFonts w:ascii="Arial" w:eastAsia="Times New Roman" w:hAnsi="Arial" w:cs="Arial"/>
          <w:color w:val="000000"/>
          <w:sz w:val="19"/>
          <w:szCs w:val="19"/>
          <w:lang w:eastAsia="fr-FR"/>
        </w:rPr>
        <w:br/>
        <w:t>« 2° Les zones naturelles, agricoles ou forestières dans les communes couvertes par un plan local d'urbanisme ou un document en tenant lieu ;</w:t>
      </w:r>
      <w:r w:rsidRPr="00874A27">
        <w:rPr>
          <w:rFonts w:ascii="Arial" w:eastAsia="Times New Roman" w:hAnsi="Arial" w:cs="Arial"/>
          <w:color w:val="000000"/>
          <w:sz w:val="19"/>
          <w:szCs w:val="19"/>
          <w:lang w:eastAsia="fr-FR"/>
        </w:rPr>
        <w:br/>
        <w:t>« 3° Les secteurs non constructibles des cartes communales.</w:t>
      </w:r>
      <w:r w:rsidRPr="00874A27">
        <w:rPr>
          <w:rFonts w:ascii="Arial" w:eastAsia="Times New Roman" w:hAnsi="Arial" w:cs="Arial"/>
          <w:color w:val="000000"/>
          <w:sz w:val="19"/>
          <w:szCs w:val="19"/>
          <w:lang w:eastAsia="fr-FR"/>
        </w:rPr>
        <w:br/>
        <w:t>« II. ― Dans les communes qui ne sont couvertes ni par un schéma de cohérence territoriale applicable, ni par un document d'urbanisme, les secteurs situés en dehors des parties actuellement urbanisées des communes ne peuvent être ouverts à l'urbanisation pour autoriser les projets mentionnés aux 3° et 4° du I de l'article L. 111-1-2.</w:t>
      </w:r>
      <w:r w:rsidRPr="00874A27">
        <w:rPr>
          <w:rFonts w:ascii="Arial" w:eastAsia="Times New Roman" w:hAnsi="Arial" w:cs="Arial"/>
          <w:color w:val="000000"/>
          <w:sz w:val="19"/>
          <w:szCs w:val="19"/>
          <w:lang w:eastAsia="fr-FR"/>
        </w:rPr>
        <w:br/>
        <w:t>« III. ― Dans les communes qui ne sont pas couvertes par un schéma de cohérence territoriale applicable, il ne peut être délivré ni d'autorisation d'exploitation commerciale en application de l'</w:t>
      </w:r>
      <w:hyperlink r:id="rId536" w:history="1">
        <w:r w:rsidRPr="00874A27">
          <w:rPr>
            <w:rFonts w:ascii="Arial" w:eastAsia="Times New Roman" w:hAnsi="Arial" w:cs="Arial"/>
            <w:color w:val="336699"/>
            <w:sz w:val="19"/>
            <w:szCs w:val="19"/>
            <w:u w:val="single"/>
            <w:lang w:eastAsia="fr-FR"/>
          </w:rPr>
          <w:t>article L. 752-1 du code de commerce</w:t>
        </w:r>
      </w:hyperlink>
      <w:r w:rsidRPr="00874A27">
        <w:rPr>
          <w:rFonts w:ascii="Arial" w:eastAsia="Times New Roman" w:hAnsi="Arial" w:cs="Arial"/>
          <w:color w:val="000000"/>
          <w:sz w:val="19"/>
          <w:szCs w:val="19"/>
          <w:lang w:eastAsia="fr-FR"/>
        </w:rPr>
        <w:t>, ni d'autorisation en application des articles </w:t>
      </w:r>
      <w:hyperlink r:id="rId537" w:history="1">
        <w:r w:rsidRPr="00874A27">
          <w:rPr>
            <w:rFonts w:ascii="Arial" w:eastAsia="Times New Roman" w:hAnsi="Arial" w:cs="Arial"/>
            <w:color w:val="336699"/>
            <w:sz w:val="19"/>
            <w:szCs w:val="19"/>
            <w:u w:val="single"/>
            <w:lang w:eastAsia="fr-FR"/>
          </w:rPr>
          <w:t>L. 212-7</w:t>
        </w:r>
      </w:hyperlink>
      <w:r w:rsidRPr="00874A27">
        <w:rPr>
          <w:rFonts w:ascii="Arial" w:eastAsia="Times New Roman" w:hAnsi="Arial" w:cs="Arial"/>
          <w:color w:val="000000"/>
          <w:sz w:val="19"/>
          <w:szCs w:val="19"/>
          <w:lang w:eastAsia="fr-FR"/>
        </w:rPr>
        <w:t> et </w:t>
      </w:r>
      <w:hyperlink r:id="rId538" w:history="1">
        <w:r w:rsidRPr="00874A27">
          <w:rPr>
            <w:rFonts w:ascii="Arial" w:eastAsia="Times New Roman" w:hAnsi="Arial" w:cs="Arial"/>
            <w:color w:val="336699"/>
            <w:sz w:val="19"/>
            <w:szCs w:val="19"/>
            <w:u w:val="single"/>
            <w:lang w:eastAsia="fr-FR"/>
          </w:rPr>
          <w:t>L. 212-8</w:t>
        </w:r>
      </w:hyperlink>
      <w:r w:rsidRPr="00874A27">
        <w:rPr>
          <w:rFonts w:ascii="Arial" w:eastAsia="Times New Roman" w:hAnsi="Arial" w:cs="Arial"/>
          <w:color w:val="000000"/>
          <w:sz w:val="19"/>
          <w:szCs w:val="19"/>
          <w:lang w:eastAsia="fr-FR"/>
        </w:rPr>
        <w:t> du code du cinéma et de l'image animée à l'intérieur d'une zone ou d'un secteur rendu constructible après l'entrée en vigueur de la </w:t>
      </w:r>
      <w:hyperlink r:id="rId539" w:history="1">
        <w:r w:rsidRPr="00874A27">
          <w:rPr>
            <w:rFonts w:ascii="Arial" w:eastAsia="Times New Roman" w:hAnsi="Arial" w:cs="Arial"/>
            <w:color w:val="336699"/>
            <w:sz w:val="19"/>
            <w:szCs w:val="19"/>
            <w:u w:val="single"/>
            <w:lang w:eastAsia="fr-FR"/>
          </w:rPr>
          <w:t>loi n° 2003-590 du 2 juillet 2003</w:t>
        </w:r>
      </w:hyperlink>
      <w:r w:rsidRPr="00874A27">
        <w:rPr>
          <w:rFonts w:ascii="Arial" w:eastAsia="Times New Roman" w:hAnsi="Arial" w:cs="Arial"/>
          <w:color w:val="000000"/>
          <w:sz w:val="19"/>
          <w:szCs w:val="19"/>
          <w:lang w:eastAsia="fr-FR"/>
        </w:rPr>
        <w:t> urbanisme et habitat.</w:t>
      </w:r>
      <w:r w:rsidRPr="00874A27">
        <w:rPr>
          <w:rFonts w:ascii="Arial" w:eastAsia="Times New Roman" w:hAnsi="Arial" w:cs="Arial"/>
          <w:color w:val="000000"/>
          <w:sz w:val="19"/>
          <w:szCs w:val="19"/>
          <w:lang w:eastAsia="fr-FR"/>
        </w:rPr>
        <w:br/>
        <w:t>« IV. ― Jusqu'au 31 décembre 2016, les I à III du présent article ne sont pas applicables dans les communes situées à plus de quinze kilomètres du rivage de la mer ou à plus de quinze kilomètres de la limite extérieure d'une unité urbaine de plus de 15 000 habitants, au sens du recensement général de la population.</w:t>
      </w:r>
      <w:r w:rsidRPr="00874A27">
        <w:rPr>
          <w:rFonts w:ascii="Arial" w:eastAsia="Times New Roman" w:hAnsi="Arial" w:cs="Arial"/>
          <w:color w:val="000000"/>
          <w:sz w:val="19"/>
          <w:szCs w:val="19"/>
          <w:lang w:eastAsia="fr-FR"/>
        </w:rPr>
        <w:br/>
        <w:t>« V. ― Pour l'application du présent article, les schémas d'aménagement régionaux des régions d'outre-mer mentionnés à l'</w:t>
      </w:r>
      <w:hyperlink r:id="rId540" w:history="1">
        <w:r w:rsidRPr="00874A27">
          <w:rPr>
            <w:rFonts w:ascii="Arial" w:eastAsia="Times New Roman" w:hAnsi="Arial" w:cs="Arial"/>
            <w:color w:val="336699"/>
            <w:sz w:val="19"/>
            <w:szCs w:val="19"/>
            <w:u w:val="single"/>
            <w:lang w:eastAsia="fr-FR"/>
          </w:rPr>
          <w:t>article L. 4433-7 du code général des collectivités territoriales</w:t>
        </w:r>
      </w:hyperlink>
      <w:r w:rsidRPr="00874A27">
        <w:rPr>
          <w:rFonts w:ascii="Arial" w:eastAsia="Times New Roman" w:hAnsi="Arial" w:cs="Arial"/>
          <w:color w:val="000000"/>
          <w:sz w:val="19"/>
          <w:szCs w:val="19"/>
          <w:lang w:eastAsia="fr-FR"/>
        </w:rPr>
        <w:t>, le schéma directeur de la région d'Ile-de-France prévu à l'article L. 141-1 du présent code, le plan d'aménagement et de développement durable de Corse prévu à l'</w:t>
      </w:r>
      <w:hyperlink r:id="rId541" w:history="1">
        <w:r w:rsidRPr="00874A27">
          <w:rPr>
            <w:rFonts w:ascii="Arial" w:eastAsia="Times New Roman" w:hAnsi="Arial" w:cs="Arial"/>
            <w:color w:val="336699"/>
            <w:sz w:val="19"/>
            <w:szCs w:val="19"/>
            <w:u w:val="single"/>
            <w:lang w:eastAsia="fr-FR"/>
          </w:rPr>
          <w:t>article L. 4424-9 du code général des collectivités territoriales</w:t>
        </w:r>
      </w:hyperlink>
      <w:r w:rsidRPr="00874A27">
        <w:rPr>
          <w:rFonts w:ascii="Arial" w:eastAsia="Times New Roman" w:hAnsi="Arial" w:cs="Arial"/>
          <w:color w:val="000000"/>
          <w:sz w:val="19"/>
          <w:szCs w:val="19"/>
          <w:lang w:eastAsia="fr-FR"/>
        </w:rPr>
        <w:t> et, jusqu'à l'approbation de celui-ci, le schéma d'aménagement de la Corse maintenu en vigueur par l'</w:t>
      </w:r>
      <w:hyperlink r:id="rId542" w:history="1">
        <w:r w:rsidRPr="00874A27">
          <w:rPr>
            <w:rFonts w:ascii="Arial" w:eastAsia="Times New Roman" w:hAnsi="Arial" w:cs="Arial"/>
            <w:color w:val="336699"/>
            <w:sz w:val="19"/>
            <w:szCs w:val="19"/>
            <w:u w:val="single"/>
            <w:lang w:eastAsia="fr-FR"/>
          </w:rPr>
          <w:t>article 13 de la loi n° 2002-92 du 22 janvier 2002</w:t>
        </w:r>
      </w:hyperlink>
      <w:r w:rsidRPr="00874A27">
        <w:rPr>
          <w:rFonts w:ascii="Arial" w:eastAsia="Times New Roman" w:hAnsi="Arial" w:cs="Arial"/>
          <w:color w:val="000000"/>
          <w:sz w:val="19"/>
          <w:szCs w:val="19"/>
          <w:lang w:eastAsia="fr-FR"/>
        </w:rPr>
        <w:t> relative à la Corse ont valeur de schéma de cohérence territoriale. » ;</w:t>
      </w:r>
      <w:r w:rsidRPr="00874A27">
        <w:rPr>
          <w:rFonts w:ascii="Arial" w:eastAsia="Times New Roman" w:hAnsi="Arial" w:cs="Arial"/>
          <w:color w:val="000000"/>
          <w:sz w:val="19"/>
          <w:szCs w:val="19"/>
          <w:lang w:eastAsia="fr-FR"/>
        </w:rPr>
        <w:br/>
        <w:t>11° Après l'article L. 122-2, il est inséré un article L. 122-2-1 ainsi rédigé :</w:t>
      </w:r>
      <w:r w:rsidRPr="00874A27">
        <w:rPr>
          <w:rFonts w:ascii="Arial" w:eastAsia="Times New Roman" w:hAnsi="Arial" w:cs="Arial"/>
          <w:color w:val="000000"/>
          <w:sz w:val="19"/>
          <w:szCs w:val="19"/>
          <w:lang w:eastAsia="fr-FR"/>
        </w:rPr>
        <w:br/>
        <w:t>« Art. L. 122-2-1. - Il peut être dérogé à l'article L. 122-2 avec l'accord du représentant de l'Etat dans le département, donné après avis de la commission départementale de la consommation des espaces agricoles prévue à l'</w:t>
      </w:r>
      <w:hyperlink r:id="rId543" w:history="1">
        <w:r w:rsidRPr="00874A27">
          <w:rPr>
            <w:rFonts w:ascii="Arial" w:eastAsia="Times New Roman" w:hAnsi="Arial" w:cs="Arial"/>
            <w:color w:val="336699"/>
            <w:sz w:val="19"/>
            <w:szCs w:val="19"/>
            <w:u w:val="single"/>
            <w:lang w:eastAsia="fr-FR"/>
          </w:rPr>
          <w:t>article L. 112-1-1 du code rural et de la pêche maritime</w:t>
        </w:r>
      </w:hyperlink>
      <w:r w:rsidRPr="00874A27">
        <w:rPr>
          <w:rFonts w:ascii="Arial" w:eastAsia="Times New Roman" w:hAnsi="Arial" w:cs="Arial"/>
          <w:color w:val="000000"/>
          <w:sz w:val="19"/>
          <w:szCs w:val="19"/>
          <w:lang w:eastAsia="fr-FR"/>
        </w:rPr>
        <w:t> et, le cas échéant, de l'établissement public prévu à l'article L. 122-4 du présent code. La dérogation ne peut être accordée que si l'urbanisation envisagée ne nuit pas à la protection des espaces naturels, agricoles et forestiers ou à la préservation et à la remise en bon état des continuités écologiques, ne conduit pas à une consommation excessive de l'espace, ne génère pas d'impact excessif sur les flux de déplacements et ne nuit pas à une répartition équilibrée entre emploi, habitat, commerces et services.</w:t>
      </w:r>
      <w:r w:rsidRPr="00874A27">
        <w:rPr>
          <w:rFonts w:ascii="Arial" w:eastAsia="Times New Roman" w:hAnsi="Arial" w:cs="Arial"/>
          <w:color w:val="000000"/>
          <w:sz w:val="19"/>
          <w:szCs w:val="19"/>
          <w:lang w:eastAsia="fr-FR"/>
        </w:rPr>
        <w:br/>
        <w:t>« Toutefois, jusqu'au 31 décembre 2016, lorsque le périmètre d'un schéma de cohérence territoriale incluant la commune a été arrêté, la dérogation prévue au premier alinéa du présent article est accordée par l'établissement public prévu à l'article L. 122-4 du présent code, après avis de la commission départementale de la consommation des espaces agricoles prévue à l'</w:t>
      </w:r>
      <w:hyperlink r:id="rId544" w:history="1">
        <w:r w:rsidRPr="00874A27">
          <w:rPr>
            <w:rFonts w:ascii="Arial" w:eastAsia="Times New Roman" w:hAnsi="Arial" w:cs="Arial"/>
            <w:color w:val="336699"/>
            <w:sz w:val="19"/>
            <w:szCs w:val="19"/>
            <w:u w:val="single"/>
            <w:lang w:eastAsia="fr-FR"/>
          </w:rPr>
          <w:t>article L. 112-1-1 du code rural et de la pêche maritime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La demande de dérogation au III de l'article L. 122-2 du présent code est présentée par le demandeur de l'autorisation. » ;</w:t>
      </w:r>
      <w:r w:rsidRPr="00874A27">
        <w:rPr>
          <w:rFonts w:ascii="Arial" w:eastAsia="Times New Roman" w:hAnsi="Arial" w:cs="Arial"/>
          <w:color w:val="000000"/>
          <w:sz w:val="19"/>
          <w:szCs w:val="19"/>
          <w:lang w:eastAsia="fr-FR"/>
        </w:rPr>
        <w:br/>
        <w:t>12° L'article L. 122-3 est ainsi modifié :</w:t>
      </w:r>
      <w:r w:rsidRPr="00874A27">
        <w:rPr>
          <w:rFonts w:ascii="Arial" w:eastAsia="Times New Roman" w:hAnsi="Arial" w:cs="Arial"/>
          <w:color w:val="000000"/>
          <w:sz w:val="19"/>
          <w:szCs w:val="19"/>
          <w:lang w:eastAsia="fr-FR"/>
        </w:rPr>
        <w:br/>
        <w:t>a) Les trois dernières phrases du I sont supprimées ;</w:t>
      </w:r>
      <w:r w:rsidRPr="00874A27">
        <w:rPr>
          <w:rFonts w:ascii="Arial" w:eastAsia="Times New Roman" w:hAnsi="Arial" w:cs="Arial"/>
          <w:color w:val="000000"/>
          <w:sz w:val="19"/>
          <w:szCs w:val="19"/>
          <w:lang w:eastAsia="fr-FR"/>
        </w:rPr>
        <w:br/>
        <w:t>b) Après le premier alinéa du II, il est inséré un alinéa ainsi rédigé :</w:t>
      </w:r>
      <w:r w:rsidRPr="00874A27">
        <w:rPr>
          <w:rFonts w:ascii="Arial" w:eastAsia="Times New Roman" w:hAnsi="Arial" w:cs="Arial"/>
          <w:color w:val="000000"/>
          <w:sz w:val="19"/>
          <w:szCs w:val="19"/>
          <w:lang w:eastAsia="fr-FR"/>
        </w:rPr>
        <w:br/>
        <w:t>« Ce périmètre permet de prendre en compte de façon cohérente les besoins de protection des espaces naturels et agricoles et les besoins et usages des habitants en matière d'équipements, de logements, d'espaces verts, de services et d'emplois.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c) Le premier alinéa du IV est ainsi modifié :</w:t>
      </w:r>
      <w:r w:rsidRPr="00874A27">
        <w:rPr>
          <w:rFonts w:ascii="Arial" w:eastAsia="Times New Roman" w:hAnsi="Arial" w:cs="Arial"/>
          <w:color w:val="000000"/>
          <w:sz w:val="19"/>
          <w:szCs w:val="19"/>
          <w:lang w:eastAsia="fr-FR"/>
        </w:rPr>
        <w:br/>
        <w:t>― à la dernière phrase, après le mot : « retenu », sont insérés les mots : « répond aux critères mentionnés au deuxième alinéa du II et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Sans préjudice des dispositions de l'article L. 123-1-7, il ne peut être arrêté de périmètre de schéma de cohérence territoriale correspondant au périmètre d'un seul établissement public de coopération intercommunale à compter du 1er juillet 2014. » ;</w:t>
      </w:r>
      <w:r w:rsidRPr="00874A27">
        <w:rPr>
          <w:rFonts w:ascii="Arial" w:eastAsia="Times New Roman" w:hAnsi="Arial" w:cs="Arial"/>
          <w:color w:val="000000"/>
          <w:sz w:val="19"/>
          <w:szCs w:val="19"/>
          <w:lang w:eastAsia="fr-FR"/>
        </w:rPr>
        <w:br/>
        <w:t>13° L'article L. 122-4 est ainsi rédigé :</w:t>
      </w:r>
      <w:r w:rsidRPr="00874A27">
        <w:rPr>
          <w:rFonts w:ascii="Arial" w:eastAsia="Times New Roman" w:hAnsi="Arial" w:cs="Arial"/>
          <w:color w:val="000000"/>
          <w:sz w:val="19"/>
          <w:szCs w:val="19"/>
          <w:lang w:eastAsia="fr-FR"/>
        </w:rPr>
        <w:br/>
        <w:t>« Art. L. 122-4. - Le schéma de cohérence territoriale est élaboré par :</w:t>
      </w:r>
      <w:r w:rsidRPr="00874A27">
        <w:rPr>
          <w:rFonts w:ascii="Arial" w:eastAsia="Times New Roman" w:hAnsi="Arial" w:cs="Arial"/>
          <w:color w:val="000000"/>
          <w:sz w:val="19"/>
          <w:szCs w:val="19"/>
          <w:lang w:eastAsia="fr-FR"/>
        </w:rPr>
        <w:br/>
        <w:t>« a) Un établissement public de coopération intercommunale compétent ;</w:t>
      </w:r>
      <w:r w:rsidRPr="00874A27">
        <w:rPr>
          <w:rFonts w:ascii="Arial" w:eastAsia="Times New Roman" w:hAnsi="Arial" w:cs="Arial"/>
          <w:color w:val="000000"/>
          <w:sz w:val="19"/>
          <w:szCs w:val="19"/>
          <w:lang w:eastAsia="fr-FR"/>
        </w:rPr>
        <w:br/>
        <w:t>« b) Un syndicat mixte constitué exclusivement des communes et établissements publics de coopération intercommunale compétents compris dans le périmètre du schéma ;</w:t>
      </w:r>
      <w:r w:rsidRPr="00874A27">
        <w:rPr>
          <w:rFonts w:ascii="Arial" w:eastAsia="Times New Roman" w:hAnsi="Arial" w:cs="Arial"/>
          <w:color w:val="000000"/>
          <w:sz w:val="19"/>
          <w:szCs w:val="19"/>
          <w:lang w:eastAsia="fr-FR"/>
        </w:rPr>
        <w:br/>
        <w:t>« c) Un syndicat mixte si les communes et les établissements publics de coopération intercommunale compétents compris dans le périmètre du schéma de cohérence territoriale ont tous adhéré à ce syndicat mixte et lui ont transféré la compétence en matière de schéma de cohérence territoriale. Dans ce cas, seuls les communes et les établissements publics de coopération intercommunale compris dans le périmètre du schéma de cohérence territoriale prennent part aux délibérations concernant le schéma.</w:t>
      </w:r>
      <w:r w:rsidRPr="00874A27">
        <w:rPr>
          <w:rFonts w:ascii="Arial" w:eastAsia="Times New Roman" w:hAnsi="Arial" w:cs="Arial"/>
          <w:color w:val="000000"/>
          <w:sz w:val="19"/>
          <w:szCs w:val="19"/>
          <w:lang w:eastAsia="fr-FR"/>
        </w:rPr>
        <w:br/>
        <w:t>« L'établissement public mentionné aux a, b et c est également chargé de l'approbation, du suivi et de la révision du schéma de cohérence territoriale.</w:t>
      </w:r>
      <w:r w:rsidRPr="00874A27">
        <w:rPr>
          <w:rFonts w:ascii="Arial" w:eastAsia="Times New Roman" w:hAnsi="Arial" w:cs="Arial"/>
          <w:color w:val="000000"/>
          <w:sz w:val="19"/>
          <w:szCs w:val="19"/>
          <w:lang w:eastAsia="fr-FR"/>
        </w:rPr>
        <w:br/>
        <w:t>« La dissolution de l'établissement public emporte l'abrogation du schéma, sauf si un autre établissement public en assure le suivi. Si un autre établissement public assure le suivi du schéma, ce dernier élabore, révise ou modifie le schéma pour adopter un schéma couvrant l'intégralité du périmètre du schéma de cohérence territoriale au plus tard à la suite de l'analyse des résultats de l'application du schéma prévue à l'article L. 122-13. » ;</w:t>
      </w:r>
      <w:r w:rsidRPr="00874A27">
        <w:rPr>
          <w:rFonts w:ascii="Arial" w:eastAsia="Times New Roman" w:hAnsi="Arial" w:cs="Arial"/>
          <w:color w:val="000000"/>
          <w:sz w:val="19"/>
          <w:szCs w:val="19"/>
          <w:lang w:eastAsia="fr-FR"/>
        </w:rPr>
        <w:br/>
        <w:t>14° L'article L. 122-4-1 est abrogé ;</w:t>
      </w:r>
      <w:r w:rsidRPr="00874A27">
        <w:rPr>
          <w:rFonts w:ascii="Arial" w:eastAsia="Times New Roman" w:hAnsi="Arial" w:cs="Arial"/>
          <w:color w:val="000000"/>
          <w:sz w:val="19"/>
          <w:szCs w:val="19"/>
          <w:lang w:eastAsia="fr-FR"/>
        </w:rPr>
        <w:br/>
        <w:t>15° L'article L. 122-4-2 est ainsi rédigé :</w:t>
      </w:r>
      <w:r w:rsidRPr="00874A27">
        <w:rPr>
          <w:rFonts w:ascii="Arial" w:eastAsia="Times New Roman" w:hAnsi="Arial" w:cs="Arial"/>
          <w:color w:val="000000"/>
          <w:sz w:val="19"/>
          <w:szCs w:val="19"/>
          <w:lang w:eastAsia="fr-FR"/>
        </w:rPr>
        <w:br/>
        <w:t>« Art. L. 122-4-2. - Les syndicats mixtes prévus à l'article L. 122-4 dont au moins deux des membres sont autorités organisatrices, au sens de l'article L. 1231-1 du code des transports, peuvent exercer la compétence prévue aux articles L. 1231-10 et L. 1231-11 du même code. » ;</w:t>
      </w:r>
      <w:r w:rsidRPr="00874A27">
        <w:rPr>
          <w:rFonts w:ascii="Arial" w:eastAsia="Times New Roman" w:hAnsi="Arial" w:cs="Arial"/>
          <w:color w:val="000000"/>
          <w:sz w:val="19"/>
          <w:szCs w:val="19"/>
          <w:lang w:eastAsia="fr-FR"/>
        </w:rPr>
        <w:br/>
        <w:t>16° Après l'article L. 122-4-2, il est inséré un article L. 122-4-3 ainsi rédigé :</w:t>
      </w:r>
      <w:r w:rsidRPr="00874A27">
        <w:rPr>
          <w:rFonts w:ascii="Arial" w:eastAsia="Times New Roman" w:hAnsi="Arial" w:cs="Arial"/>
          <w:color w:val="000000"/>
          <w:sz w:val="19"/>
          <w:szCs w:val="19"/>
          <w:lang w:eastAsia="fr-FR"/>
        </w:rPr>
        <w:br/>
        <w:t>« Art. L. 122-4-3. - La charte d'un parc naturel régional peut tenir lieu de schéma de cohérence territoriale pour les communes de ce parc qui ne sont pas comprises dans le périmètre d'un schéma de cohérence territoriale, dès lors que cette charte comporte un chapitre individualisé comprenant les documents mentionnés à l'article L. 122-1-1 et élaboré, modifié ou révisé dans les conditions définies aux articles L. 122-6 à L. 122-16-1. Le périmètre du schéma de cohérence territoriale est délimité dans les conditions définies à l'article L. 122-3. » ;</w:t>
      </w:r>
      <w:r w:rsidRPr="00874A27">
        <w:rPr>
          <w:rFonts w:ascii="Arial" w:eastAsia="Times New Roman" w:hAnsi="Arial" w:cs="Arial"/>
          <w:color w:val="000000"/>
          <w:sz w:val="19"/>
          <w:szCs w:val="19"/>
          <w:lang w:eastAsia="fr-FR"/>
        </w:rPr>
        <w:br/>
        <w:t>17° L'article L. 122-5 est ainsi modifié :</w:t>
      </w:r>
      <w:r w:rsidRPr="00874A27">
        <w:rPr>
          <w:rFonts w:ascii="Arial" w:eastAsia="Times New Roman" w:hAnsi="Arial" w:cs="Arial"/>
          <w:color w:val="000000"/>
          <w:sz w:val="19"/>
          <w:szCs w:val="19"/>
          <w:lang w:eastAsia="fr-FR"/>
        </w:rPr>
        <w:br/>
        <w:t>a) Le premier alinéa est remplacé par un I ainsi rédigé :</w:t>
      </w:r>
      <w:r w:rsidRPr="00874A27">
        <w:rPr>
          <w:rFonts w:ascii="Arial" w:eastAsia="Times New Roman" w:hAnsi="Arial" w:cs="Arial"/>
          <w:color w:val="000000"/>
          <w:sz w:val="19"/>
          <w:szCs w:val="19"/>
          <w:lang w:eastAsia="fr-FR"/>
        </w:rPr>
        <w:br/>
        <w:t>« I. ― Lorsque le périmètre de l'établissement public prévu aux a et b de l'article L. 122-4 est étendu, dans les conditions définies par le </w:t>
      </w:r>
      <w:hyperlink r:id="rId545" w:history="1">
        <w:r w:rsidRPr="00874A27">
          <w:rPr>
            <w:rFonts w:ascii="Arial" w:eastAsia="Times New Roman" w:hAnsi="Arial" w:cs="Arial"/>
            <w:color w:val="336699"/>
            <w:sz w:val="19"/>
            <w:szCs w:val="19"/>
            <w:u w:val="single"/>
            <w:lang w:eastAsia="fr-FR"/>
          </w:rPr>
          <w:t>code général des collectivités territoriales</w:t>
        </w:r>
      </w:hyperlink>
      <w:r w:rsidRPr="00874A27">
        <w:rPr>
          <w:rFonts w:ascii="Arial" w:eastAsia="Times New Roman" w:hAnsi="Arial" w:cs="Arial"/>
          <w:color w:val="000000"/>
          <w:sz w:val="19"/>
          <w:szCs w:val="19"/>
          <w:lang w:eastAsia="fr-FR"/>
        </w:rPr>
        <w:t>, à une ou plusieurs communes ou à un ou plusieurs établissements publics de coopération intercommunale, la décision d'extension emporte extension du périmètre du schéma de cohérence territoriale.</w:t>
      </w:r>
      <w:r w:rsidRPr="00874A27">
        <w:rPr>
          <w:rFonts w:ascii="Arial" w:eastAsia="Times New Roman" w:hAnsi="Arial" w:cs="Arial"/>
          <w:color w:val="000000"/>
          <w:sz w:val="19"/>
          <w:szCs w:val="19"/>
          <w:lang w:eastAsia="fr-FR"/>
        </w:rPr>
        <w:br/>
        <w:t>« L'établissement public mentionné aux mêmes a et b engage l'élaboration, la révision ou la modification du schéma en vigueur pour adopter un schéma couvrant l'intégralité de son périmètre, au plus tard lors de la délibération qui suit l'analyse des résultats de l'application du schéma en vigueur prévue à l'article L. 122-13. » ;</w:t>
      </w:r>
      <w:r w:rsidRPr="00874A27">
        <w:rPr>
          <w:rFonts w:ascii="Arial" w:eastAsia="Times New Roman" w:hAnsi="Arial" w:cs="Arial"/>
          <w:color w:val="000000"/>
          <w:sz w:val="19"/>
          <w:szCs w:val="19"/>
          <w:lang w:eastAsia="fr-FR"/>
        </w:rPr>
        <w:br/>
        <w:t>b) Le deuxième alinéa est ainsi rédigé :</w:t>
      </w:r>
      <w:r w:rsidRPr="00874A27">
        <w:rPr>
          <w:rFonts w:ascii="Arial" w:eastAsia="Times New Roman" w:hAnsi="Arial" w:cs="Arial"/>
          <w:color w:val="000000"/>
          <w:sz w:val="19"/>
          <w:szCs w:val="19"/>
          <w:lang w:eastAsia="fr-FR"/>
        </w:rPr>
        <w:br/>
        <w:t>« II. ― Lorsqu'une commune ou un établissement public de coopération intercommunale se retire de l'établissement public prévu aux a et b de l'article L. 122-4 dans les conditions définies par le </w:t>
      </w:r>
      <w:hyperlink r:id="rId546" w:history="1">
        <w:r w:rsidRPr="00874A27">
          <w:rPr>
            <w:rFonts w:ascii="Arial" w:eastAsia="Times New Roman" w:hAnsi="Arial" w:cs="Arial"/>
            <w:color w:val="336699"/>
            <w:sz w:val="19"/>
            <w:szCs w:val="19"/>
            <w:u w:val="single"/>
            <w:lang w:eastAsia="fr-FR"/>
          </w:rPr>
          <w:t>code général des collectivités territoriales</w:t>
        </w:r>
      </w:hyperlink>
      <w:r w:rsidRPr="00874A27">
        <w:rPr>
          <w:rFonts w:ascii="Arial" w:eastAsia="Times New Roman" w:hAnsi="Arial" w:cs="Arial"/>
          <w:color w:val="000000"/>
          <w:sz w:val="19"/>
          <w:szCs w:val="19"/>
          <w:lang w:eastAsia="fr-FR"/>
        </w:rPr>
        <w:t>, la décision de retrait emporte réduction du périmètre du schéma de cohérence territoriale et abrogation des dispositions du schéma sur la commune ou l'établissement public de coopération intercommunale retiré. Pendant un délai de six ans à compter du retrait, l'article L. 122-2 ne s'applique pas aux communes et établissements publics de coopération intercommunale se retirant d'un périmètre de schéma de cohérence territoriale applicable et n'intégrant pas un nouveau périmètre de schéma de cohérence territoriale. » ;</w:t>
      </w:r>
      <w:r w:rsidRPr="00874A27">
        <w:rPr>
          <w:rFonts w:ascii="Arial" w:eastAsia="Times New Roman" w:hAnsi="Arial" w:cs="Arial"/>
          <w:color w:val="000000"/>
          <w:sz w:val="19"/>
          <w:szCs w:val="19"/>
          <w:lang w:eastAsia="fr-FR"/>
        </w:rPr>
        <w:br/>
        <w:t>c) Le quatrième alinéa est ainsi modifié :</w:t>
      </w:r>
      <w:r w:rsidRPr="00874A27">
        <w:rPr>
          <w:rFonts w:ascii="Arial" w:eastAsia="Times New Roman" w:hAnsi="Arial" w:cs="Arial"/>
          <w:color w:val="000000"/>
          <w:sz w:val="19"/>
          <w:szCs w:val="19"/>
          <w:lang w:eastAsia="fr-FR"/>
        </w:rPr>
        <w:br/>
        <w:t>― au début, est ajoutée la mention : « III. ― » ;</w:t>
      </w:r>
      <w:r w:rsidRPr="00874A27">
        <w:rPr>
          <w:rFonts w:ascii="Arial" w:eastAsia="Times New Roman" w:hAnsi="Arial" w:cs="Arial"/>
          <w:color w:val="000000"/>
          <w:sz w:val="19"/>
          <w:szCs w:val="19"/>
          <w:lang w:eastAsia="fr-FR"/>
        </w:rPr>
        <w:br/>
        <w:t>― à la première phrase, les mots : « à l'article » sont remplacés par les références : « aux a et b de l'article » ;</w:t>
      </w:r>
      <w:r w:rsidRPr="00874A27">
        <w:rPr>
          <w:rFonts w:ascii="Arial" w:eastAsia="Times New Roman" w:hAnsi="Arial" w:cs="Arial"/>
          <w:color w:val="000000"/>
          <w:sz w:val="19"/>
          <w:szCs w:val="19"/>
          <w:lang w:eastAsia="fr-FR"/>
        </w:rPr>
        <w:br/>
        <w:t>d) L'avant-dernier alinéa est ainsi modifié :</w:t>
      </w:r>
      <w:r w:rsidRPr="00874A27">
        <w:rPr>
          <w:rFonts w:ascii="Arial" w:eastAsia="Times New Roman" w:hAnsi="Arial" w:cs="Arial"/>
          <w:color w:val="000000"/>
          <w:sz w:val="19"/>
          <w:szCs w:val="19"/>
          <w:lang w:eastAsia="fr-FR"/>
        </w:rPr>
        <w:br/>
        <w:t>― au début, est ajoutée la mention : « IV. ― » ;</w:t>
      </w:r>
      <w:r w:rsidRPr="00874A27">
        <w:rPr>
          <w:rFonts w:ascii="Arial" w:eastAsia="Times New Roman" w:hAnsi="Arial" w:cs="Arial"/>
          <w:color w:val="000000"/>
          <w:sz w:val="19"/>
          <w:szCs w:val="19"/>
          <w:lang w:eastAsia="fr-FR"/>
        </w:rPr>
        <w:br/>
        <w:t>― aux deux premières phrases, les mots : « à l'article » sont remplacés par les références : « aux a et b de l'article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e) Le dernier alinéa est remplacé par un V ainsi rédigé :</w:t>
      </w:r>
      <w:r w:rsidRPr="00874A27">
        <w:rPr>
          <w:rFonts w:ascii="Arial" w:eastAsia="Times New Roman" w:hAnsi="Arial" w:cs="Arial"/>
          <w:color w:val="000000"/>
          <w:sz w:val="19"/>
          <w:szCs w:val="19"/>
          <w:lang w:eastAsia="fr-FR"/>
        </w:rPr>
        <w:br/>
        <w:t>« V. ― Dans le cas prévu au c de l'article L. 122-4, lorsqu'une commune ou un établissement public de coopération intercommunale compétent en matière de schéma de cohérence territoriale adhère, dans les conditions définies par le </w:t>
      </w:r>
      <w:hyperlink r:id="rId547" w:history="1">
        <w:r w:rsidRPr="00874A27">
          <w:rPr>
            <w:rFonts w:ascii="Arial" w:eastAsia="Times New Roman" w:hAnsi="Arial" w:cs="Arial"/>
            <w:color w:val="336699"/>
            <w:sz w:val="19"/>
            <w:szCs w:val="19"/>
            <w:u w:val="single"/>
            <w:lang w:eastAsia="fr-FR"/>
          </w:rPr>
          <w:t>code général des collectivités territoriales</w:t>
        </w:r>
      </w:hyperlink>
      <w:r w:rsidRPr="00874A27">
        <w:rPr>
          <w:rFonts w:ascii="Arial" w:eastAsia="Times New Roman" w:hAnsi="Arial" w:cs="Arial"/>
          <w:color w:val="000000"/>
          <w:sz w:val="19"/>
          <w:szCs w:val="19"/>
          <w:lang w:eastAsia="fr-FR"/>
        </w:rPr>
        <w:t>, au syndicat mixte pour la compétence d'élaboration, de suivi et de révision du schéma de cohérence territoriale, la décision d'adhésion emporte extension du périmètre du schéma de cohérence territoriale. Le syndicat mixte engage l'élaboration, la révision ou la modification du schéma en vigueur pour adopter un schéma couvrant l'intégralité de son périmètre, au plus tard lors de la délibération qui suit l'analyse des résultats de l'application du schéma en vigueur prévue à l'article L. 122-13.</w:t>
      </w:r>
      <w:r w:rsidRPr="00874A27">
        <w:rPr>
          <w:rFonts w:ascii="Arial" w:eastAsia="Times New Roman" w:hAnsi="Arial" w:cs="Arial"/>
          <w:color w:val="000000"/>
          <w:sz w:val="19"/>
          <w:szCs w:val="19"/>
          <w:lang w:eastAsia="fr-FR"/>
        </w:rPr>
        <w:br/>
        <w:t>« Lorsqu'une commune ou un établissement public de coopération intercommunale compétent en matière de schéma de cohérence territoriale se retire du syndicat mixte pour la compétence d'élaboration, de suivi et de révision du schéma de cohérence territoriale, la décision de retrait emporte réduction du périmètre du schéma de cohérence territoriale et abrogation des dispositions du schéma sur la commune ou l'établissement public de coopération intercommunale compétent en matière de schéma de cohérence territoriale retiré. Pendant un délai de six ans à compter du retrait, l'article L. 122-2 ne s'applique pas aux communes et établissements publics de coopération intercommunale se retirant d'un périmètre de schéma de cohérence territoriale applicable et n'intégrant pas un nouveau périmètre de schéma de cohérence territoriale. » ;</w:t>
      </w:r>
      <w:r w:rsidRPr="00874A27">
        <w:rPr>
          <w:rFonts w:ascii="Arial" w:eastAsia="Times New Roman" w:hAnsi="Arial" w:cs="Arial"/>
          <w:color w:val="000000"/>
          <w:sz w:val="19"/>
          <w:szCs w:val="19"/>
          <w:lang w:eastAsia="fr-FR"/>
        </w:rPr>
        <w:br/>
        <w:t>18° Aux 1° et 2° de l'article L. 122-5-2, le mot : « à » est remplacé par les références : « aux a et b de » ;</w:t>
      </w:r>
      <w:r w:rsidRPr="00874A27">
        <w:rPr>
          <w:rFonts w:ascii="Arial" w:eastAsia="Times New Roman" w:hAnsi="Arial" w:cs="Arial"/>
          <w:color w:val="000000"/>
          <w:sz w:val="19"/>
          <w:szCs w:val="19"/>
          <w:lang w:eastAsia="fr-FR"/>
        </w:rPr>
        <w:br/>
        <w:t>19° Au 4° de l'article L. 122-8, le mot : « zones » est remplacé par le mot : « espaces » ;</w:t>
      </w:r>
      <w:r w:rsidRPr="00874A27">
        <w:rPr>
          <w:rFonts w:ascii="Arial" w:eastAsia="Times New Roman" w:hAnsi="Arial" w:cs="Arial"/>
          <w:color w:val="000000"/>
          <w:sz w:val="19"/>
          <w:szCs w:val="19"/>
          <w:lang w:eastAsia="fr-FR"/>
        </w:rPr>
        <w:br/>
        <w:t>20° Au dernier alinéa de l'article L. 122-1-2, la référence : « articles L. 122-1-12 et » est remplacée par les références : « I et II de l'article L. 111-1-1 et à l'article » ;</w:t>
      </w:r>
      <w:r w:rsidRPr="00874A27">
        <w:rPr>
          <w:rFonts w:ascii="Arial" w:eastAsia="Times New Roman" w:hAnsi="Arial" w:cs="Arial"/>
          <w:color w:val="000000"/>
          <w:sz w:val="19"/>
          <w:szCs w:val="19"/>
          <w:lang w:eastAsia="fr-FR"/>
        </w:rPr>
        <w:br/>
        <w:t>21° Au dernier alinéa de l'article L. 122-1-13, la référence : « L. 122-1-12 » est remplacée par la référence : « L. 111-1-1 » ;</w:t>
      </w:r>
      <w:r w:rsidRPr="00874A27">
        <w:rPr>
          <w:rFonts w:ascii="Arial" w:eastAsia="Times New Roman" w:hAnsi="Arial" w:cs="Arial"/>
          <w:color w:val="000000"/>
          <w:sz w:val="19"/>
          <w:szCs w:val="19"/>
          <w:lang w:eastAsia="fr-FR"/>
        </w:rPr>
        <w:br/>
        <w:t>22° Au premier alinéa de l'article L. 122-5-1, la référence : « du quatrième alinéa de l'article L. 122-2 » est remplacée par la référence : « de l'article L. 122-2-1 » ;</w:t>
      </w:r>
      <w:r w:rsidRPr="00874A27">
        <w:rPr>
          <w:rFonts w:ascii="Arial" w:eastAsia="Times New Roman" w:hAnsi="Arial" w:cs="Arial"/>
          <w:color w:val="000000"/>
          <w:sz w:val="19"/>
          <w:szCs w:val="19"/>
          <w:lang w:eastAsia="fr-FR"/>
        </w:rPr>
        <w:br/>
        <w:t>23° Au premier alinéa des articles L. 122-6, L. 122-8, L. 122-11, L. 122-13, L. 122-16, aux articles L. 122-6-1 et L. 122-7, à la première phrase de l'article L. 122-9, au deuxième alinéa de l'article L. 122-11-1, aux deuxième et dernier alinéas de l'article L. 122-12, au premier alinéa du I de l'article L. 122-14, au I et au premier alinéa du II de l'article L. 122-14-1, aux premier et dernier alinéas de l'article L. 122-14-2, à la dernière phrase du premier alinéa du II de l'article L. 122-14-3, au premier alinéa des I et III, au 2° du II, aux 2°, 3° et b du 4° du IV de l'article L. 122-16-1, à la deuxième phrase de l'article L. 122-17 et au dernier alinéa de l'article L. 122-18, les références : « aux articles L. 122-4 et L. 122-4-1 » sont remplacées par la référence : « à l'article L. 122-4 » ;</w:t>
      </w:r>
      <w:r w:rsidRPr="00874A27">
        <w:rPr>
          <w:rFonts w:ascii="Arial" w:eastAsia="Times New Roman" w:hAnsi="Arial" w:cs="Arial"/>
          <w:color w:val="000000"/>
          <w:sz w:val="19"/>
          <w:szCs w:val="19"/>
          <w:lang w:eastAsia="fr-FR"/>
        </w:rPr>
        <w:br/>
        <w:t>24° Le dernier alinéa de l'article L. 150-1 est ainsi modifié :</w:t>
      </w:r>
      <w:r w:rsidRPr="00874A27">
        <w:rPr>
          <w:rFonts w:ascii="Arial" w:eastAsia="Times New Roman" w:hAnsi="Arial" w:cs="Arial"/>
          <w:color w:val="000000"/>
          <w:sz w:val="19"/>
          <w:szCs w:val="19"/>
          <w:lang w:eastAsia="fr-FR"/>
        </w:rPr>
        <w:br/>
        <w:t>a) Les références : « par l'article L. 122-1-12 » et « par l'article L. 123-1 » sont supprimées ;</w:t>
      </w:r>
      <w:r w:rsidRPr="00874A27">
        <w:rPr>
          <w:rFonts w:ascii="Arial" w:eastAsia="Times New Roman" w:hAnsi="Arial" w:cs="Arial"/>
          <w:color w:val="000000"/>
          <w:sz w:val="19"/>
          <w:szCs w:val="19"/>
          <w:lang w:eastAsia="fr-FR"/>
        </w:rPr>
        <w:br/>
        <w:t>b) La référence : « L. 124-2 » est remplacée par la référence : « L. 111-1-1 » ;</w:t>
      </w:r>
      <w:r w:rsidRPr="00874A27">
        <w:rPr>
          <w:rFonts w:ascii="Arial" w:eastAsia="Times New Roman" w:hAnsi="Arial" w:cs="Arial"/>
          <w:color w:val="000000"/>
          <w:sz w:val="19"/>
          <w:szCs w:val="19"/>
          <w:lang w:eastAsia="fr-FR"/>
        </w:rPr>
        <w:br/>
        <w:t>25° Le premier alinéa de l'article L. 122-6-2 est ainsi rédigé :</w:t>
      </w:r>
      <w:r w:rsidRPr="00874A27">
        <w:rPr>
          <w:rFonts w:ascii="Arial" w:eastAsia="Times New Roman" w:hAnsi="Arial" w:cs="Arial"/>
          <w:color w:val="000000"/>
          <w:sz w:val="19"/>
          <w:szCs w:val="19"/>
          <w:lang w:eastAsia="fr-FR"/>
        </w:rPr>
        <w:br/>
        <w:t>« A leur demande, le président de l'établissement public mentionné à l'article L. 122-4 ou son représentant consulte la commission départementale de la consommation des espaces agricoles prévue à l'</w:t>
      </w:r>
      <w:hyperlink r:id="rId548" w:history="1">
        <w:r w:rsidRPr="00874A27">
          <w:rPr>
            <w:rFonts w:ascii="Arial" w:eastAsia="Times New Roman" w:hAnsi="Arial" w:cs="Arial"/>
            <w:color w:val="336699"/>
            <w:sz w:val="19"/>
            <w:szCs w:val="19"/>
            <w:u w:val="single"/>
            <w:lang w:eastAsia="fr-FR"/>
          </w:rPr>
          <w:t>article L. 112-1-1 du code rural et de la pêche maritime</w:t>
        </w:r>
      </w:hyperlink>
      <w:r w:rsidRPr="00874A27">
        <w:rPr>
          <w:rFonts w:ascii="Arial" w:eastAsia="Times New Roman" w:hAnsi="Arial" w:cs="Arial"/>
          <w:color w:val="000000"/>
          <w:sz w:val="19"/>
          <w:szCs w:val="19"/>
          <w:lang w:eastAsia="fr-FR"/>
        </w:rPr>
        <w:t>, les communes limitrophes du périmètre du schéma de cohérence territoriale ainsi que les associations mentionnées à l'article L. 121-5. » ;</w:t>
      </w:r>
      <w:r w:rsidRPr="00874A27">
        <w:rPr>
          <w:rFonts w:ascii="Arial" w:eastAsia="Times New Roman" w:hAnsi="Arial" w:cs="Arial"/>
          <w:color w:val="000000"/>
          <w:sz w:val="19"/>
          <w:szCs w:val="19"/>
          <w:lang w:eastAsia="fr-FR"/>
        </w:rPr>
        <w:br/>
        <w:t>26° L'article L. 122-1-9 est ainsi rédigé :</w:t>
      </w:r>
      <w:r w:rsidRPr="00874A27">
        <w:rPr>
          <w:rFonts w:ascii="Arial" w:eastAsia="Times New Roman" w:hAnsi="Arial" w:cs="Arial"/>
          <w:color w:val="000000"/>
          <w:sz w:val="19"/>
          <w:szCs w:val="19"/>
          <w:lang w:eastAsia="fr-FR"/>
        </w:rPr>
        <w:br/>
        <w:t>« Art. L. 122-1-9. - Le document d'orientation et d'objectifs précise les orientations relatives à l'équipement commercial et artisanal.</w:t>
      </w:r>
      <w:r w:rsidRPr="00874A27">
        <w:rPr>
          <w:rFonts w:ascii="Arial" w:eastAsia="Times New Roman" w:hAnsi="Arial" w:cs="Arial"/>
          <w:color w:val="000000"/>
          <w:sz w:val="19"/>
          <w:szCs w:val="19"/>
          <w:lang w:eastAsia="fr-FR"/>
        </w:rPr>
        <w:br/>
        <w:t>« Il définit les localisations préférentielles des commerces en prenant en compte les objectifs de revitalisation des centres-villes, de maintien d'une offre commerciale diversifiée de proximité permettant de répondre aux besoins courants de la population tout en limitant les obligations de déplacement et les émissions de gaz à effet de serre, de cohérence entre la localisation des équipements commerciaux et la maîtrise des flux de personnes et de marchandises, de consommation économe de l'espace et de préservation de l'environnement, des paysages et de l'architecture.</w:t>
      </w:r>
      <w:r w:rsidRPr="00874A27">
        <w:rPr>
          <w:rFonts w:ascii="Arial" w:eastAsia="Times New Roman" w:hAnsi="Arial" w:cs="Arial"/>
          <w:color w:val="000000"/>
          <w:sz w:val="19"/>
          <w:szCs w:val="19"/>
          <w:lang w:eastAsia="fr-FR"/>
        </w:rPr>
        <w:br/>
        <w:t>« Le document d'orientation et d'objectifs détermine les conditions d'implantation des équipements commerciaux qui, du fait de leur importance, sont susceptibles d'avoir un impact significatif sur l'aménagement du territoire.</w:t>
      </w:r>
      <w:r w:rsidRPr="00874A27">
        <w:rPr>
          <w:rFonts w:ascii="Arial" w:eastAsia="Times New Roman" w:hAnsi="Arial" w:cs="Arial"/>
          <w:color w:val="000000"/>
          <w:sz w:val="19"/>
          <w:szCs w:val="19"/>
          <w:lang w:eastAsia="fr-FR"/>
        </w:rPr>
        <w:br/>
        <w:t>« Ces conditions privilégient la consommation économe de l'espace, notamment en entrée de ville, par la compacité des formes bâties, l'utilisation prioritaire des surfaces commerciales vacantes et l'optimisation des surfaces dédiées au stationnement. Elles portent également sur la desserte de ces équipements par les transports collectifs et leur accessibilité aux piétons et aux cyclistes ainsi que sur leur qualité environnementale, architecturale et paysagère, notamment au regard de la performance énergétique et de la gestion des eaux. »</w:t>
      </w:r>
      <w:r w:rsidRPr="00874A27">
        <w:rPr>
          <w:rFonts w:ascii="Arial" w:eastAsia="Times New Roman" w:hAnsi="Arial" w:cs="Arial"/>
          <w:color w:val="000000"/>
          <w:sz w:val="19"/>
          <w:szCs w:val="19"/>
          <w:lang w:eastAsia="fr-FR"/>
        </w:rPr>
        <w:br/>
        <w:t>II. ― L'</w:t>
      </w:r>
      <w:hyperlink r:id="rId549" w:history="1">
        <w:r w:rsidRPr="00874A27">
          <w:rPr>
            <w:rFonts w:ascii="Arial" w:eastAsia="Times New Roman" w:hAnsi="Arial" w:cs="Arial"/>
            <w:color w:val="336699"/>
            <w:sz w:val="19"/>
            <w:szCs w:val="19"/>
            <w:u w:val="single"/>
            <w:lang w:eastAsia="fr-FR"/>
          </w:rPr>
          <w:t>article L. 122-1-9 du code de l'urbanisme</w:t>
        </w:r>
      </w:hyperlink>
      <w:r w:rsidRPr="00874A27">
        <w:rPr>
          <w:rFonts w:ascii="Arial" w:eastAsia="Times New Roman" w:hAnsi="Arial" w:cs="Arial"/>
          <w:color w:val="000000"/>
          <w:sz w:val="19"/>
          <w:szCs w:val="19"/>
          <w:lang w:eastAsia="fr-FR"/>
        </w:rPr>
        <w:t xml:space="preserve">, dans sa rédaction antérieure à la présente loi, demeure applicable aux procédures en cours si le débat sur les orientations du projet d'aménagement </w:t>
      </w:r>
      <w:r w:rsidRPr="00874A27">
        <w:rPr>
          <w:rFonts w:ascii="Arial" w:eastAsia="Times New Roman" w:hAnsi="Arial" w:cs="Arial"/>
          <w:color w:val="000000"/>
          <w:sz w:val="19"/>
          <w:szCs w:val="19"/>
          <w:lang w:eastAsia="fr-FR"/>
        </w:rPr>
        <w:lastRenderedPageBreak/>
        <w:t>et de développement durables a eu lieu avant la publication de la présente loi.</w:t>
      </w:r>
      <w:r w:rsidRPr="00874A27">
        <w:rPr>
          <w:rFonts w:ascii="Arial" w:eastAsia="Times New Roman" w:hAnsi="Arial" w:cs="Arial"/>
          <w:color w:val="000000"/>
          <w:sz w:val="19"/>
          <w:szCs w:val="19"/>
          <w:lang w:eastAsia="fr-FR"/>
        </w:rPr>
        <w:br/>
        <w:t>III. ― Pour l'application de l'</w:t>
      </w:r>
      <w:hyperlink r:id="rId550" w:history="1">
        <w:r w:rsidRPr="00874A27">
          <w:rPr>
            <w:rFonts w:ascii="Arial" w:eastAsia="Times New Roman" w:hAnsi="Arial" w:cs="Arial"/>
            <w:color w:val="336699"/>
            <w:sz w:val="19"/>
            <w:szCs w:val="19"/>
            <w:u w:val="single"/>
            <w:lang w:eastAsia="fr-FR"/>
          </w:rPr>
          <w:t>article L. 122-1-14 du code de l'urbanisme</w:t>
        </w:r>
      </w:hyperlink>
      <w:r w:rsidRPr="00874A27">
        <w:rPr>
          <w:rFonts w:ascii="Arial" w:eastAsia="Times New Roman" w:hAnsi="Arial" w:cs="Arial"/>
          <w:color w:val="000000"/>
          <w:sz w:val="19"/>
          <w:szCs w:val="19"/>
          <w:lang w:eastAsia="fr-FR"/>
        </w:rPr>
        <w:t>, l'élaboration des schémas de secteur dont le périmètre a été délimité par délibération de l'établissement public porteur de schéma de cohérence territoriale, en application de l'article R. 122-11 du code de l'urbanisme, avant l'entrée en vigueur de la présente loi peut être poursuivie après cette date conformément aux dispositions applicables antérieurement, jusqu'à leur approbation. Ces schémas, ainsi que ceux approuvés avant l'entrée en vigueur de la présente loi, continuent à produire leurs effets et sont régis par les dispositions applicables antérieurement à cette date. Le schéma de secteur peut tenir lieu de plan local d'urbanisme intercommunal dès lors qu'il porte sur le périmètre d'un établissement public de coopération intercommunale compétent en matière de plan local d'urbanisme, respecte les principes et objectifs des plans locaux d'urbanisme énoncés à l'article L. 123-1 du même code, à l'exception des deuxième à cinquième alinéas du II, et comprend les documents constitutifs d'un plan local d'urbanisme intercommunal mentionnés aux articles L. 123-1-2 à L. 123-1-6 et L. 123-1-8 dudit code.</w:t>
      </w:r>
      <w:r w:rsidRPr="00874A27">
        <w:rPr>
          <w:rFonts w:ascii="Arial" w:eastAsia="Times New Roman" w:hAnsi="Arial" w:cs="Arial"/>
          <w:color w:val="000000"/>
          <w:sz w:val="19"/>
          <w:szCs w:val="19"/>
          <w:lang w:eastAsia="fr-FR"/>
        </w:rPr>
        <w:br/>
        <w:t>L'intégration des documents constitutifs d'un plan local d'urbanisme, et en particulier d'un dispositif réglementaire opposable aux demandes d'autorisation d'urbanisme, est réalisée par la procédure de modification prévue à l'article L. 122-14-1 du même code, sous réserve des cas où la révision s'impose en application de l'article L. 122-14 dudit code.</w:t>
      </w:r>
      <w:r w:rsidRPr="00874A27">
        <w:rPr>
          <w:rFonts w:ascii="Arial" w:eastAsia="Times New Roman" w:hAnsi="Arial" w:cs="Arial"/>
          <w:color w:val="000000"/>
          <w:sz w:val="19"/>
          <w:szCs w:val="19"/>
          <w:lang w:eastAsia="fr-FR"/>
        </w:rPr>
        <w:br/>
        <w:t>Le projet de modification fait l'objet d'un examen conjoint de l'Etat, de l'établissement public de coopération intercommunale et des personnes publiques associées mentionnées à l'article L. 121-4 du même code. Le procès-verbal de la réunion d'examen conjoint est joint au dossier de l'enquête publique.</w:t>
      </w:r>
      <w:r w:rsidRPr="00874A27">
        <w:rPr>
          <w:rFonts w:ascii="Arial" w:eastAsia="Times New Roman" w:hAnsi="Arial" w:cs="Arial"/>
          <w:color w:val="000000"/>
          <w:sz w:val="19"/>
          <w:szCs w:val="19"/>
          <w:lang w:eastAsia="fr-FR"/>
        </w:rPr>
        <w:br/>
        <w:t>Le schéma de secteur tient lieu de plan local d'urbanisme jusqu'à la prochaine révision du schéma de cohérence territoriale ou jusqu'à l'élaboration d'un plan local d'urbanisme intercommunal.</w:t>
      </w:r>
      <w:r w:rsidRPr="00874A27">
        <w:rPr>
          <w:rFonts w:ascii="Arial" w:eastAsia="Times New Roman" w:hAnsi="Arial" w:cs="Arial"/>
          <w:color w:val="000000"/>
          <w:sz w:val="19"/>
          <w:szCs w:val="19"/>
          <w:lang w:eastAsia="fr-FR"/>
        </w:rPr>
        <w:br/>
        <w:t>IV. ― La mise en compatibilité d'un plan local d'urbanisme, d'un document en tenant lieu ou d'une carte communale avec un schéma de cohérence territoriale ou un schéma de secteur approuvé avant le 1er juillet 2015 doit s'opérer dans le délai prévu au </w:t>
      </w:r>
      <w:hyperlink r:id="rId551" w:history="1">
        <w:r w:rsidRPr="00874A27">
          <w:rPr>
            <w:rFonts w:ascii="Arial" w:eastAsia="Times New Roman" w:hAnsi="Arial" w:cs="Arial"/>
            <w:color w:val="336699"/>
            <w:sz w:val="19"/>
            <w:szCs w:val="19"/>
            <w:u w:val="single"/>
            <w:lang w:eastAsia="fr-FR"/>
          </w:rPr>
          <w:t>quatrième alinéa de l'article L. 111-1-1 du code de l'urbanisme</w:t>
        </w:r>
      </w:hyperlink>
      <w:r w:rsidRPr="00874A27">
        <w:rPr>
          <w:rFonts w:ascii="Arial" w:eastAsia="Times New Roman" w:hAnsi="Arial" w:cs="Arial"/>
          <w:color w:val="000000"/>
          <w:sz w:val="19"/>
          <w:szCs w:val="19"/>
          <w:lang w:eastAsia="fr-FR"/>
        </w:rPr>
        <w:t>, dans sa rédaction antérieure à la présente loi.</w:t>
      </w:r>
      <w:r w:rsidRPr="00874A27">
        <w:rPr>
          <w:rFonts w:ascii="Arial" w:eastAsia="Times New Roman" w:hAnsi="Arial" w:cs="Arial"/>
          <w:color w:val="000000"/>
          <w:sz w:val="19"/>
          <w:szCs w:val="19"/>
          <w:lang w:eastAsia="fr-FR"/>
        </w:rPr>
        <w:br/>
        <w:t>Pour l'application des articles L. 122-2 et L. 122-2-1 du même code, les dispositions antérieures à la publication de la présente loi demeurent applicables aux procédures d'élaboration et de révision des plans locaux d'urbanisme et des cartes communales en cours à cette date.</w:t>
      </w:r>
      <w:r w:rsidRPr="00874A27">
        <w:rPr>
          <w:rFonts w:ascii="Arial" w:eastAsia="Times New Roman" w:hAnsi="Arial" w:cs="Arial"/>
          <w:color w:val="000000"/>
          <w:sz w:val="19"/>
          <w:szCs w:val="19"/>
          <w:lang w:eastAsia="fr-FR"/>
        </w:rPr>
        <w:br/>
        <w:t>V. ― Le code de l'environnement est ainsi modifié :</w:t>
      </w:r>
      <w:r w:rsidRPr="00874A27">
        <w:rPr>
          <w:rFonts w:ascii="Arial" w:eastAsia="Times New Roman" w:hAnsi="Arial" w:cs="Arial"/>
          <w:color w:val="000000"/>
          <w:sz w:val="19"/>
          <w:szCs w:val="19"/>
          <w:lang w:eastAsia="fr-FR"/>
        </w:rPr>
        <w:br/>
        <w:t>1° La dernière phrase du V de l'article L. 333-1 est remplacée par deux phrases ainsi rédigées :</w:t>
      </w:r>
      <w:r w:rsidRPr="00874A27">
        <w:rPr>
          <w:rFonts w:ascii="Arial" w:eastAsia="Times New Roman" w:hAnsi="Arial" w:cs="Arial"/>
          <w:color w:val="000000"/>
          <w:sz w:val="19"/>
          <w:szCs w:val="19"/>
          <w:lang w:eastAsia="fr-FR"/>
        </w:rPr>
        <w:br/>
        <w:t>« Les règlements locaux de publicité prévus à l'article L. 581-14 du présent code doivent être compatibles avec les orientations et les mesures de la charte. Les documents d'urbanisme doivent être compatibles avec la charte, dans les conditions fixées à l'</w:t>
      </w:r>
      <w:hyperlink r:id="rId552" w:history="1">
        <w:r w:rsidRPr="00874A27">
          <w:rPr>
            <w:rFonts w:ascii="Arial" w:eastAsia="Times New Roman" w:hAnsi="Arial" w:cs="Arial"/>
            <w:color w:val="336699"/>
            <w:sz w:val="19"/>
            <w:szCs w:val="19"/>
            <w:u w:val="single"/>
            <w:lang w:eastAsia="fr-FR"/>
          </w:rPr>
          <w:t>article L. 111-1-1 du code de l'urbanisme</w:t>
        </w:r>
      </w:hyperlink>
      <w:r w:rsidRPr="00874A27">
        <w:rPr>
          <w:rFonts w:ascii="Arial" w:eastAsia="Times New Roman" w:hAnsi="Arial" w:cs="Arial"/>
          <w:color w:val="000000"/>
          <w:sz w:val="19"/>
          <w:szCs w:val="19"/>
          <w:lang w:eastAsia="fr-FR"/>
        </w:rPr>
        <w:t>. » ;</w:t>
      </w:r>
      <w:r w:rsidRPr="00874A27">
        <w:rPr>
          <w:rFonts w:ascii="Arial" w:eastAsia="Times New Roman" w:hAnsi="Arial" w:cs="Arial"/>
          <w:color w:val="000000"/>
          <w:sz w:val="19"/>
          <w:szCs w:val="19"/>
          <w:lang w:eastAsia="fr-FR"/>
        </w:rPr>
        <w:br/>
        <w:t>2° Le deuxième alinéa du III de l'article L. 331-3 est remplacé par deux alinéas ainsi rédigés :</w:t>
      </w:r>
      <w:r w:rsidRPr="00874A27">
        <w:rPr>
          <w:rFonts w:ascii="Arial" w:eastAsia="Times New Roman" w:hAnsi="Arial" w:cs="Arial"/>
          <w:color w:val="000000"/>
          <w:sz w:val="19"/>
          <w:szCs w:val="19"/>
          <w:lang w:eastAsia="fr-FR"/>
        </w:rPr>
        <w:br/>
        <w:t>« Les documents d'urbanisme doivent être compatibles avec les objectifs de protection et les orientations de la charte du parc national, dans les conditions fixées à l'article L. 111-1-1 du code de l'urbanisme.</w:t>
      </w:r>
      <w:r w:rsidRPr="00874A27">
        <w:rPr>
          <w:rFonts w:ascii="Arial" w:eastAsia="Times New Roman" w:hAnsi="Arial" w:cs="Arial"/>
          <w:color w:val="000000"/>
          <w:sz w:val="19"/>
          <w:szCs w:val="19"/>
          <w:lang w:eastAsia="fr-FR"/>
        </w:rPr>
        <w:br/>
        <w:t>« Les règlements locaux de publicité prévus à l'article L. 581-14 du présent code doivent être compatibles avec les objectifs de protection et les orientations de la charte du parc national. Lorsqu'un tel règlement est approuvé avant l'approbation de la charte, il doit, si nécessaire, être rendu compatible dans un délai de trois ans à compter de l'approbation de celle-ci. » ;</w:t>
      </w:r>
      <w:r w:rsidRPr="00874A27">
        <w:rPr>
          <w:rFonts w:ascii="Arial" w:eastAsia="Times New Roman" w:hAnsi="Arial" w:cs="Arial"/>
          <w:color w:val="000000"/>
          <w:sz w:val="19"/>
          <w:szCs w:val="19"/>
          <w:lang w:eastAsia="fr-FR"/>
        </w:rPr>
        <w:br/>
        <w:t>3° Au deuxième alinéa de l'article L. 341-16, la référence : « L. 122-2, » est supprimée ;</w:t>
      </w:r>
      <w:r w:rsidRPr="00874A27">
        <w:rPr>
          <w:rFonts w:ascii="Arial" w:eastAsia="Times New Roman" w:hAnsi="Arial" w:cs="Arial"/>
          <w:color w:val="000000"/>
          <w:sz w:val="19"/>
          <w:szCs w:val="19"/>
          <w:lang w:eastAsia="fr-FR"/>
        </w:rPr>
        <w:br/>
        <w:t>4° L'article L. 350-1 est ainsi modifié :</w:t>
      </w:r>
      <w:r w:rsidRPr="00874A27">
        <w:rPr>
          <w:rFonts w:ascii="Arial" w:eastAsia="Times New Roman" w:hAnsi="Arial" w:cs="Arial"/>
          <w:color w:val="000000"/>
          <w:sz w:val="19"/>
          <w:szCs w:val="19"/>
          <w:lang w:eastAsia="fr-FR"/>
        </w:rPr>
        <w:br/>
        <w:t>a) Le III est ainsi modifié :</w:t>
      </w:r>
      <w:r w:rsidRPr="00874A27">
        <w:rPr>
          <w:rFonts w:ascii="Arial" w:eastAsia="Times New Roman" w:hAnsi="Arial" w:cs="Arial"/>
          <w:color w:val="000000"/>
          <w:sz w:val="19"/>
          <w:szCs w:val="19"/>
          <w:lang w:eastAsia="fr-FR"/>
        </w:rPr>
        <w:br/>
        <w:t>― le mot : « directeurs » est remplacé par les mots : « de cohérence territoriale » et les mots : « d'occupation des sols » sont remplacés par les mots : « locaux d'urbanisme » ;</w:t>
      </w:r>
      <w:r w:rsidRPr="00874A27">
        <w:rPr>
          <w:rFonts w:ascii="Arial" w:eastAsia="Times New Roman" w:hAnsi="Arial" w:cs="Arial"/>
          <w:color w:val="000000"/>
          <w:sz w:val="19"/>
          <w:szCs w:val="19"/>
          <w:lang w:eastAsia="fr-FR"/>
        </w:rPr>
        <w:br/>
        <w:t>― sont ajoutés les mots : « , dans les conditions fixées à l'</w:t>
      </w:r>
      <w:hyperlink r:id="rId553" w:history="1">
        <w:r w:rsidRPr="00874A27">
          <w:rPr>
            <w:rFonts w:ascii="Arial" w:eastAsia="Times New Roman" w:hAnsi="Arial" w:cs="Arial"/>
            <w:color w:val="336699"/>
            <w:sz w:val="19"/>
            <w:szCs w:val="19"/>
            <w:u w:val="single"/>
            <w:lang w:eastAsia="fr-FR"/>
          </w:rPr>
          <w:t>article L. 111-1-1 du code de l'urbanisme</w:t>
        </w:r>
      </w:hyperlink>
      <w:r w:rsidRPr="00874A27">
        <w:rPr>
          <w:rFonts w:ascii="Arial" w:eastAsia="Times New Roman" w:hAnsi="Arial" w:cs="Arial"/>
          <w:color w:val="000000"/>
          <w:sz w:val="19"/>
          <w:szCs w:val="19"/>
          <w:lang w:eastAsia="fr-FR"/>
        </w:rPr>
        <w:t> » ;</w:t>
      </w:r>
      <w:r w:rsidRPr="00874A27">
        <w:rPr>
          <w:rFonts w:ascii="Arial" w:eastAsia="Times New Roman" w:hAnsi="Arial" w:cs="Arial"/>
          <w:color w:val="000000"/>
          <w:sz w:val="19"/>
          <w:szCs w:val="19"/>
          <w:lang w:eastAsia="fr-FR"/>
        </w:rPr>
        <w:br/>
        <w:t>b) Le IV est ainsi modifié :</w:t>
      </w:r>
      <w:r w:rsidRPr="00874A27">
        <w:rPr>
          <w:rFonts w:ascii="Arial" w:eastAsia="Times New Roman" w:hAnsi="Arial" w:cs="Arial"/>
          <w:color w:val="000000"/>
          <w:sz w:val="19"/>
          <w:szCs w:val="19"/>
          <w:lang w:eastAsia="fr-FR"/>
        </w:rPr>
        <w:br/>
        <w:t>― aux 1° et 2°, les mots : « d'occupation des sols » sont remplacés par les mots : « local d'urbanisme » ;</w:t>
      </w:r>
      <w:r w:rsidRPr="00874A27">
        <w:rPr>
          <w:rFonts w:ascii="Arial" w:eastAsia="Times New Roman" w:hAnsi="Arial" w:cs="Arial"/>
          <w:color w:val="000000"/>
          <w:sz w:val="19"/>
          <w:szCs w:val="19"/>
          <w:lang w:eastAsia="fr-FR"/>
        </w:rPr>
        <w:br/>
        <w:t>― au 2°, les mots : « incompatible avec leurs dispositions » sont remplacés par les mots : « n'a pas été mis en compatibilité avec leurs dispositions dans les conditions fixées à l'</w:t>
      </w:r>
      <w:hyperlink r:id="rId554" w:history="1">
        <w:r w:rsidRPr="00874A27">
          <w:rPr>
            <w:rFonts w:ascii="Arial" w:eastAsia="Times New Roman" w:hAnsi="Arial" w:cs="Arial"/>
            <w:color w:val="336699"/>
            <w:sz w:val="19"/>
            <w:szCs w:val="19"/>
            <w:u w:val="single"/>
            <w:lang w:eastAsia="fr-FR"/>
          </w:rPr>
          <w:t>article L. 111-1-1 du code de l'urbanisme</w:t>
        </w:r>
      </w:hyperlink>
      <w:r w:rsidRPr="00874A27">
        <w:rPr>
          <w:rFonts w:ascii="Arial" w:eastAsia="Times New Roman" w:hAnsi="Arial" w:cs="Arial"/>
          <w:color w:val="000000"/>
          <w:sz w:val="19"/>
          <w:szCs w:val="19"/>
          <w:lang w:eastAsia="fr-FR"/>
        </w:rPr>
        <w:t> » ;</w:t>
      </w:r>
      <w:r w:rsidRPr="00874A27">
        <w:rPr>
          <w:rFonts w:ascii="Arial" w:eastAsia="Times New Roman" w:hAnsi="Arial" w:cs="Arial"/>
          <w:color w:val="000000"/>
          <w:sz w:val="19"/>
          <w:szCs w:val="19"/>
          <w:lang w:eastAsia="fr-FR"/>
        </w:rPr>
        <w:br/>
        <w:t>5° Le treizième alinéa de l'article L. 371-3 est complété par les mots : « dans les conditions fixées à l'</w:t>
      </w:r>
      <w:hyperlink r:id="rId555" w:history="1">
        <w:r w:rsidRPr="00874A27">
          <w:rPr>
            <w:rFonts w:ascii="Arial" w:eastAsia="Times New Roman" w:hAnsi="Arial" w:cs="Arial"/>
            <w:color w:val="336699"/>
            <w:sz w:val="19"/>
            <w:szCs w:val="19"/>
            <w:u w:val="single"/>
            <w:lang w:eastAsia="fr-FR"/>
          </w:rPr>
          <w:t>article L. 111-1-1 du code de l'urbanisme</w:t>
        </w:r>
      </w:hyperlink>
      <w:r w:rsidRPr="00874A27">
        <w:rPr>
          <w:rFonts w:ascii="Arial" w:eastAsia="Times New Roman" w:hAnsi="Arial" w:cs="Arial"/>
          <w:color w:val="000000"/>
          <w:sz w:val="19"/>
          <w:szCs w:val="19"/>
          <w:lang w:eastAsia="fr-FR"/>
        </w:rPr>
        <w:t> » ;</w:t>
      </w:r>
      <w:r w:rsidRPr="00874A27">
        <w:rPr>
          <w:rFonts w:ascii="Arial" w:eastAsia="Times New Roman" w:hAnsi="Arial" w:cs="Arial"/>
          <w:color w:val="000000"/>
          <w:sz w:val="19"/>
          <w:szCs w:val="19"/>
          <w:lang w:eastAsia="fr-FR"/>
        </w:rPr>
        <w:br/>
        <w:t>6° L'article L. 515-3 est ainsi rédigé :</w:t>
      </w:r>
      <w:r w:rsidRPr="00874A27">
        <w:rPr>
          <w:rFonts w:ascii="Arial" w:eastAsia="Times New Roman" w:hAnsi="Arial" w:cs="Arial"/>
          <w:color w:val="000000"/>
          <w:sz w:val="19"/>
          <w:szCs w:val="19"/>
          <w:lang w:eastAsia="fr-FR"/>
        </w:rPr>
        <w:br/>
        <w:t xml:space="preserve">« Art. L. 515-3. - I. ― Le schéma régional des carrières définit les conditions générales d'implantation des carrières et les orientations relatives à la logistique nécessaire à la gestion durable des granulats, des matériaux et des substances de carrières dans la région. Il prend en compte l'intérêt économique national et régional, les ressources, y compris marines et issues du recyclage, ainsi que les besoins en matériaux dans et hors de la région, la protection des paysages, des sites et des milieux naturels sensibles, la préservation de la ressource en eau, la nécessité d'une gestion équilibrée et partagée de </w:t>
      </w:r>
      <w:r w:rsidRPr="00874A27">
        <w:rPr>
          <w:rFonts w:ascii="Arial" w:eastAsia="Times New Roman" w:hAnsi="Arial" w:cs="Arial"/>
          <w:color w:val="000000"/>
          <w:sz w:val="19"/>
          <w:szCs w:val="19"/>
          <w:lang w:eastAsia="fr-FR"/>
        </w:rPr>
        <w:lastRenderedPageBreak/>
        <w:t>l'espace, l'existence de modes de transport écologiques, tout en favorisant les approvisionnements de proximité, une utilisation rationnelle et économe des ressources et le recyclage. Il identifie les gisements potentiellement exploitables d'intérêt national ou régional et recense les carrières existantes. Il fixe les objectifs à atteindre en matière de limitation et de suivi des impacts et les orientations de remise en état et de réaménagement des sites.</w:t>
      </w:r>
      <w:r w:rsidRPr="00874A27">
        <w:rPr>
          <w:rFonts w:ascii="Arial" w:eastAsia="Times New Roman" w:hAnsi="Arial" w:cs="Arial"/>
          <w:color w:val="000000"/>
          <w:sz w:val="19"/>
          <w:szCs w:val="19"/>
          <w:lang w:eastAsia="fr-FR"/>
        </w:rPr>
        <w:br/>
        <w:t>« II. ― Le schéma régional des carrières est élaboré par le préfet de région.</w:t>
      </w:r>
      <w:r w:rsidRPr="00874A27">
        <w:rPr>
          <w:rFonts w:ascii="Arial" w:eastAsia="Times New Roman" w:hAnsi="Arial" w:cs="Arial"/>
          <w:color w:val="000000"/>
          <w:sz w:val="19"/>
          <w:szCs w:val="19"/>
          <w:lang w:eastAsia="fr-FR"/>
        </w:rPr>
        <w:br/>
        <w:t>« Le contenu du schéma, les modalités et les conditions de son élaboration, de sa révision et, le cas échéant, de sa modification sont précisés par décret en Conseil d'Etat.</w:t>
      </w:r>
      <w:r w:rsidRPr="00874A27">
        <w:rPr>
          <w:rFonts w:ascii="Arial" w:eastAsia="Times New Roman" w:hAnsi="Arial" w:cs="Arial"/>
          <w:color w:val="000000"/>
          <w:sz w:val="19"/>
          <w:szCs w:val="19"/>
          <w:lang w:eastAsia="fr-FR"/>
        </w:rPr>
        <w:br/>
        <w:t>« Le schéma régional des carrières est élaboré après consultation :</w:t>
      </w:r>
      <w:r w:rsidRPr="00874A27">
        <w:rPr>
          <w:rFonts w:ascii="Arial" w:eastAsia="Times New Roman" w:hAnsi="Arial" w:cs="Arial"/>
          <w:color w:val="000000"/>
          <w:sz w:val="19"/>
          <w:szCs w:val="19"/>
          <w:lang w:eastAsia="fr-FR"/>
        </w:rPr>
        <w:br/>
        <w:t>« 1° Du plan régional de l'agriculture durable mentionné à l'</w:t>
      </w:r>
      <w:hyperlink r:id="rId556" w:history="1">
        <w:r w:rsidRPr="00874A27">
          <w:rPr>
            <w:rFonts w:ascii="Arial" w:eastAsia="Times New Roman" w:hAnsi="Arial" w:cs="Arial"/>
            <w:color w:val="336699"/>
            <w:sz w:val="19"/>
            <w:szCs w:val="19"/>
            <w:u w:val="single"/>
            <w:lang w:eastAsia="fr-FR"/>
          </w:rPr>
          <w:t>article L. 111-2-1 du code rural et de la pêche maritime</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 2° Des schémas départementaux ou interdépartementaux des déchets de chantier du bâtiment et de travaux publics ou, pour l'Ile-de-France, du schéma régional de ces déchets prévus à l'article L. 541-14 du présent code.</w:t>
      </w:r>
      <w:r w:rsidRPr="00874A27">
        <w:rPr>
          <w:rFonts w:ascii="Arial" w:eastAsia="Times New Roman" w:hAnsi="Arial" w:cs="Arial"/>
          <w:color w:val="000000"/>
          <w:sz w:val="19"/>
          <w:szCs w:val="19"/>
          <w:lang w:eastAsia="fr-FR"/>
        </w:rPr>
        <w:br/>
        <w:t>« Il est soumis à l'avis :</w:t>
      </w:r>
      <w:r w:rsidRPr="00874A27">
        <w:rPr>
          <w:rFonts w:ascii="Arial" w:eastAsia="Times New Roman" w:hAnsi="Arial" w:cs="Arial"/>
          <w:color w:val="000000"/>
          <w:sz w:val="19"/>
          <w:szCs w:val="19"/>
          <w:lang w:eastAsia="fr-FR"/>
        </w:rPr>
        <w:br/>
        <w:t>« a) Des formations "carrières” des commissions départementales de la nature, des paysages et des sites des départements de la région ;</w:t>
      </w:r>
      <w:r w:rsidRPr="00874A27">
        <w:rPr>
          <w:rFonts w:ascii="Arial" w:eastAsia="Times New Roman" w:hAnsi="Arial" w:cs="Arial"/>
          <w:color w:val="000000"/>
          <w:sz w:val="19"/>
          <w:szCs w:val="19"/>
          <w:lang w:eastAsia="fr-FR"/>
        </w:rPr>
        <w:br/>
        <w:t>« b) De l'organisme de gestion de tout parc naturel régional se trouvant dans l'emprise de la région tel que prévu à l'article L. 333-1 ;</w:t>
      </w:r>
      <w:r w:rsidRPr="00874A27">
        <w:rPr>
          <w:rFonts w:ascii="Arial" w:eastAsia="Times New Roman" w:hAnsi="Arial" w:cs="Arial"/>
          <w:color w:val="000000"/>
          <w:sz w:val="19"/>
          <w:szCs w:val="19"/>
          <w:lang w:eastAsia="fr-FR"/>
        </w:rPr>
        <w:br/>
        <w:t>« c) De l'établissement public d'un parc national en tant qu'il s'applique aux espaces inclus dans ce parc conformément à l'article L. 331-3.</w:t>
      </w:r>
      <w:r w:rsidRPr="00874A27">
        <w:rPr>
          <w:rFonts w:ascii="Arial" w:eastAsia="Times New Roman" w:hAnsi="Arial" w:cs="Arial"/>
          <w:color w:val="000000"/>
          <w:sz w:val="19"/>
          <w:szCs w:val="19"/>
          <w:lang w:eastAsia="fr-FR"/>
        </w:rPr>
        <w:br/>
        <w:t>« Il est également soumis, conformément à l'</w:t>
      </w:r>
      <w:hyperlink r:id="rId557" w:history="1">
        <w:r w:rsidRPr="00874A27">
          <w:rPr>
            <w:rFonts w:ascii="Arial" w:eastAsia="Times New Roman" w:hAnsi="Arial" w:cs="Arial"/>
            <w:color w:val="336699"/>
            <w:sz w:val="19"/>
            <w:szCs w:val="19"/>
            <w:u w:val="single"/>
            <w:lang w:eastAsia="fr-FR"/>
          </w:rPr>
          <w:t>article L. 112-3 du code rural et de la pêche maritime</w:t>
        </w:r>
      </w:hyperlink>
      <w:r w:rsidRPr="00874A27">
        <w:rPr>
          <w:rFonts w:ascii="Arial" w:eastAsia="Times New Roman" w:hAnsi="Arial" w:cs="Arial"/>
          <w:color w:val="000000"/>
          <w:sz w:val="19"/>
          <w:szCs w:val="19"/>
          <w:lang w:eastAsia="fr-FR"/>
        </w:rPr>
        <w:t>, en cas de réduction des espaces agricoles ou forestiers, à l'avis :</w:t>
      </w:r>
      <w:r w:rsidRPr="00874A27">
        <w:rPr>
          <w:rFonts w:ascii="Arial" w:eastAsia="Times New Roman" w:hAnsi="Arial" w:cs="Arial"/>
          <w:color w:val="000000"/>
          <w:sz w:val="19"/>
          <w:szCs w:val="19"/>
          <w:lang w:eastAsia="fr-FR"/>
        </w:rPr>
        <w:br/>
        <w:t>« ― de la chambre régionale d'agriculture ;</w:t>
      </w:r>
      <w:r w:rsidRPr="00874A27">
        <w:rPr>
          <w:rFonts w:ascii="Arial" w:eastAsia="Times New Roman" w:hAnsi="Arial" w:cs="Arial"/>
          <w:color w:val="000000"/>
          <w:sz w:val="19"/>
          <w:szCs w:val="19"/>
          <w:lang w:eastAsia="fr-FR"/>
        </w:rPr>
        <w:br/>
        <w:t>« ― de l'Institut national de l'origine et de la qualité dans les zones d'appellation d'origine contrôlée ;</w:t>
      </w:r>
      <w:r w:rsidRPr="00874A27">
        <w:rPr>
          <w:rFonts w:ascii="Arial" w:eastAsia="Times New Roman" w:hAnsi="Arial" w:cs="Arial"/>
          <w:color w:val="000000"/>
          <w:sz w:val="19"/>
          <w:szCs w:val="19"/>
          <w:lang w:eastAsia="fr-FR"/>
        </w:rPr>
        <w:br/>
        <w:t>« ― le cas échéant, du Centre national de la propriété forestière.</w:t>
      </w:r>
      <w:r w:rsidRPr="00874A27">
        <w:rPr>
          <w:rFonts w:ascii="Arial" w:eastAsia="Times New Roman" w:hAnsi="Arial" w:cs="Arial"/>
          <w:color w:val="000000"/>
          <w:sz w:val="19"/>
          <w:szCs w:val="19"/>
          <w:lang w:eastAsia="fr-FR"/>
        </w:rPr>
        <w:br/>
        <w:t>« Le schéma régional des carrières est ensuite concomitamment soumis à l'avis :</w:t>
      </w:r>
      <w:r w:rsidRPr="00874A27">
        <w:rPr>
          <w:rFonts w:ascii="Arial" w:eastAsia="Times New Roman" w:hAnsi="Arial" w:cs="Arial"/>
          <w:color w:val="000000"/>
          <w:sz w:val="19"/>
          <w:szCs w:val="19"/>
          <w:lang w:eastAsia="fr-FR"/>
        </w:rPr>
        <w:br/>
        <w:t>« ― du conseil régional ;</w:t>
      </w:r>
      <w:r w:rsidRPr="00874A27">
        <w:rPr>
          <w:rFonts w:ascii="Arial" w:eastAsia="Times New Roman" w:hAnsi="Arial" w:cs="Arial"/>
          <w:color w:val="000000"/>
          <w:sz w:val="19"/>
          <w:szCs w:val="19"/>
          <w:lang w:eastAsia="fr-FR"/>
        </w:rPr>
        <w:br/>
        <w:t>« ― des conseils généraux des départements de la région ;</w:t>
      </w:r>
      <w:r w:rsidRPr="00874A27">
        <w:rPr>
          <w:rFonts w:ascii="Arial" w:eastAsia="Times New Roman" w:hAnsi="Arial" w:cs="Arial"/>
          <w:color w:val="000000"/>
          <w:sz w:val="19"/>
          <w:szCs w:val="19"/>
          <w:lang w:eastAsia="fr-FR"/>
        </w:rPr>
        <w:br/>
        <w:t>« ― des préfets de région des autres régions identifiées comme consommatrices de granulats ou de substances d'intérêt régional ou national extraits dans la région ;</w:t>
      </w:r>
      <w:r w:rsidRPr="00874A27">
        <w:rPr>
          <w:rFonts w:ascii="Arial" w:eastAsia="Times New Roman" w:hAnsi="Arial" w:cs="Arial"/>
          <w:color w:val="000000"/>
          <w:sz w:val="19"/>
          <w:szCs w:val="19"/>
          <w:lang w:eastAsia="fr-FR"/>
        </w:rPr>
        <w:br/>
        <w:t>« ― des formations "carrières” des commissions départementales de la nature, des paysages et des sites des départements, hors de la région, identifiés comme consommateurs de granulats ou de substances d'intérêt régional ou national extraits dans la région ;</w:t>
      </w:r>
      <w:r w:rsidRPr="00874A27">
        <w:rPr>
          <w:rFonts w:ascii="Arial" w:eastAsia="Times New Roman" w:hAnsi="Arial" w:cs="Arial"/>
          <w:color w:val="000000"/>
          <w:sz w:val="19"/>
          <w:szCs w:val="19"/>
          <w:lang w:eastAsia="fr-FR"/>
        </w:rPr>
        <w:br/>
        <w:t>« ― des conseils régionaux des autres régions identifiées comme consommatrices de granulats ou de substances d'intérêt régional ou national extraits dans la région.</w:t>
      </w:r>
      <w:r w:rsidRPr="00874A27">
        <w:rPr>
          <w:rFonts w:ascii="Arial" w:eastAsia="Times New Roman" w:hAnsi="Arial" w:cs="Arial"/>
          <w:color w:val="000000"/>
          <w:sz w:val="19"/>
          <w:szCs w:val="19"/>
          <w:lang w:eastAsia="fr-FR"/>
        </w:rPr>
        <w:br/>
        <w:t>« Les avis sont rendus dans un délai de deux mois suivant la réception de la demande. En l'absence de réponse, ils sont réputés favorables.</w:t>
      </w:r>
      <w:r w:rsidRPr="00874A27">
        <w:rPr>
          <w:rFonts w:ascii="Arial" w:eastAsia="Times New Roman" w:hAnsi="Arial" w:cs="Arial"/>
          <w:color w:val="000000"/>
          <w:sz w:val="19"/>
          <w:szCs w:val="19"/>
          <w:lang w:eastAsia="fr-FR"/>
        </w:rPr>
        <w:br/>
        <w:t>« Le schéma régional des carrières est mis à disposition du public en application de l'article L. 122-8 du présent code.</w:t>
      </w:r>
      <w:r w:rsidRPr="00874A27">
        <w:rPr>
          <w:rFonts w:ascii="Arial" w:eastAsia="Times New Roman" w:hAnsi="Arial" w:cs="Arial"/>
          <w:color w:val="000000"/>
          <w:sz w:val="19"/>
          <w:szCs w:val="19"/>
          <w:lang w:eastAsia="fr-FR"/>
        </w:rPr>
        <w:br/>
        <w:t>« Il est approuvé par le préfet de région puis rendu public dans les conditions définies à l'article L. 122-10.</w:t>
      </w:r>
      <w:r w:rsidRPr="00874A27">
        <w:rPr>
          <w:rFonts w:ascii="Arial" w:eastAsia="Times New Roman" w:hAnsi="Arial" w:cs="Arial"/>
          <w:color w:val="000000"/>
          <w:sz w:val="19"/>
          <w:szCs w:val="19"/>
          <w:lang w:eastAsia="fr-FR"/>
        </w:rPr>
        <w:br/>
        <w:t>« Les autorisations et enregistrements d'exploitations de carrières délivrés en application du présent titre doivent être compatibles avec ce schéma.</w:t>
      </w:r>
      <w:r w:rsidRPr="00874A27">
        <w:rPr>
          <w:rFonts w:ascii="Arial" w:eastAsia="Times New Roman" w:hAnsi="Arial" w:cs="Arial"/>
          <w:color w:val="000000"/>
          <w:sz w:val="19"/>
          <w:szCs w:val="19"/>
          <w:lang w:eastAsia="fr-FR"/>
        </w:rPr>
        <w:br/>
        <w:t>« III. ― Le schéma régional des carrières prend en compte le schéma régional de cohérence écologique et précise les mesures permettant d'éviter, de réduire et, le cas échéant, de compenser les atteintes aux continuités écologiques que sa mise en œuvre est susceptible d'entraîner.</w:t>
      </w:r>
      <w:r w:rsidRPr="00874A27">
        <w:rPr>
          <w:rFonts w:ascii="Arial" w:eastAsia="Times New Roman" w:hAnsi="Arial" w:cs="Arial"/>
          <w:color w:val="000000"/>
          <w:sz w:val="19"/>
          <w:szCs w:val="19"/>
          <w:lang w:eastAsia="fr-FR"/>
        </w:rPr>
        <w:br/>
        <w:t>« Le schéma régional des carrières doit être compatible ou rendu compatible dans un délai de trois ans avec les dispositions des schémas directeurs d'aménagement et de gestion des eaux et des schémas d'aménagement et de gestion des eaux, s'ils existent.</w:t>
      </w:r>
      <w:r w:rsidRPr="00874A27">
        <w:rPr>
          <w:rFonts w:ascii="Arial" w:eastAsia="Times New Roman" w:hAnsi="Arial" w:cs="Arial"/>
          <w:color w:val="000000"/>
          <w:sz w:val="19"/>
          <w:szCs w:val="19"/>
          <w:lang w:eastAsia="fr-FR"/>
        </w:rPr>
        <w:br/>
        <w:t>« Les schémas de cohérence territoriale et, en l'absence de schéma de cohérence territoriale, les plans locaux d'urbanisme, les plans d'occupation des sols ou les cartes communales prennent en compte les schémas régionaux des carrières, le cas échéant dans un délai de trois ans après la publication de ces schémas lorsque ces derniers leur sont postérieurs.</w:t>
      </w:r>
      <w:r w:rsidRPr="00874A27">
        <w:rPr>
          <w:rFonts w:ascii="Arial" w:eastAsia="Times New Roman" w:hAnsi="Arial" w:cs="Arial"/>
          <w:color w:val="000000"/>
          <w:sz w:val="19"/>
          <w:szCs w:val="19"/>
          <w:lang w:eastAsia="fr-FR"/>
        </w:rPr>
        <w:br/>
        <w:t>« IV. ― Toutefois, les schémas départementaux des carrières continuent à être régis par le présent article, dans sa rédaction antérieure à la </w:t>
      </w:r>
      <w:hyperlink r:id="rId558" w:history="1">
        <w:r w:rsidRPr="00874A27">
          <w:rPr>
            <w:rFonts w:ascii="Arial" w:eastAsia="Times New Roman" w:hAnsi="Arial" w:cs="Arial"/>
            <w:color w:val="336699"/>
            <w:sz w:val="19"/>
            <w:szCs w:val="19"/>
            <w:u w:val="single"/>
            <w:lang w:eastAsia="fr-FR"/>
          </w:rPr>
          <w:t>loi n° 2014-366 du 24 mars 2014</w:t>
        </w:r>
      </w:hyperlink>
      <w:r w:rsidRPr="00874A27">
        <w:rPr>
          <w:rFonts w:ascii="Arial" w:eastAsia="Times New Roman" w:hAnsi="Arial" w:cs="Arial"/>
          <w:color w:val="000000"/>
          <w:sz w:val="19"/>
          <w:szCs w:val="19"/>
          <w:lang w:eastAsia="fr-FR"/>
        </w:rPr>
        <w:t> pour l'accès au logement et un urbanisme rénové, jusqu'à l'adoption d'un schéma régional des carrières, qui au plus tard doit intervenir dans un délai de cinq ans à compter du 1er janvier suivant la date de publication de la même loi.</w:t>
      </w:r>
      <w:r w:rsidRPr="00874A27">
        <w:rPr>
          <w:rFonts w:ascii="Arial" w:eastAsia="Times New Roman" w:hAnsi="Arial" w:cs="Arial"/>
          <w:color w:val="000000"/>
          <w:sz w:val="19"/>
          <w:szCs w:val="19"/>
          <w:lang w:eastAsia="fr-FR"/>
        </w:rPr>
        <w:br/>
        <w:t>« En Guadeloupe, en Guyane, en Martinique, à La Réunion, à Mayotte, à Saint-Martin et à Saint-Pierre-et-Miquelon, ce délai est porté à dix ans. »</w:t>
      </w:r>
      <w:r w:rsidRPr="00874A27">
        <w:rPr>
          <w:rFonts w:ascii="Arial" w:eastAsia="Times New Roman" w:hAnsi="Arial" w:cs="Arial"/>
          <w:color w:val="000000"/>
          <w:sz w:val="19"/>
          <w:szCs w:val="19"/>
          <w:lang w:eastAsia="fr-FR"/>
        </w:rPr>
        <w:br/>
        <w:t>VI. ― Le code de commerce est ainsi modifié :</w:t>
      </w:r>
      <w:r w:rsidRPr="00874A27">
        <w:rPr>
          <w:rFonts w:ascii="Arial" w:eastAsia="Times New Roman" w:hAnsi="Arial" w:cs="Arial"/>
          <w:color w:val="000000"/>
          <w:sz w:val="19"/>
          <w:szCs w:val="19"/>
          <w:lang w:eastAsia="fr-FR"/>
        </w:rPr>
        <w:br/>
        <w:t>1° L'article L. 752-1 est ainsi modifié :</w:t>
      </w:r>
      <w:r w:rsidRPr="00874A27">
        <w:rPr>
          <w:rFonts w:ascii="Arial" w:eastAsia="Times New Roman" w:hAnsi="Arial" w:cs="Arial"/>
          <w:color w:val="000000"/>
          <w:sz w:val="19"/>
          <w:szCs w:val="19"/>
          <w:lang w:eastAsia="fr-FR"/>
        </w:rPr>
        <w:br/>
        <w:t>a) Au début du premier alinéa, la mention : « I. ― » est supprimée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b) Le II est remplacé par un 7° et trois alinéas ainsi rédigés :</w:t>
      </w:r>
      <w:r w:rsidRPr="00874A27">
        <w:rPr>
          <w:rFonts w:ascii="Arial" w:eastAsia="Times New Roman" w:hAnsi="Arial" w:cs="Arial"/>
          <w:color w:val="000000"/>
          <w:sz w:val="19"/>
          <w:szCs w:val="19"/>
          <w:lang w:eastAsia="fr-FR"/>
        </w:rPr>
        <w:br/>
        <w:t>« 7° La création ou l'extension d'un point permanent de retrait par la clientèle d'achats au détail commandés par voie télématique, organisé pour l'accès en automobile.</w:t>
      </w:r>
      <w:r w:rsidRPr="00874A27">
        <w:rPr>
          <w:rFonts w:ascii="Arial" w:eastAsia="Times New Roman" w:hAnsi="Arial" w:cs="Arial"/>
          <w:color w:val="000000"/>
          <w:sz w:val="19"/>
          <w:szCs w:val="19"/>
          <w:lang w:eastAsia="fr-FR"/>
        </w:rPr>
        <w:br/>
        <w:t>« Par dérogation au 7°, n'est pas soumise à autorisation d'exploitation commerciale la création d'un point permanent de retrait par la clientèle d'achats au détail commandés par voie télématique, organisé pour l'accès en automobile, intégré à un magasin de détail ouvert au public à la date de publication de la </w:t>
      </w:r>
      <w:hyperlink r:id="rId559" w:history="1">
        <w:r w:rsidRPr="00874A27">
          <w:rPr>
            <w:rFonts w:ascii="Arial" w:eastAsia="Times New Roman" w:hAnsi="Arial" w:cs="Arial"/>
            <w:color w:val="336699"/>
            <w:sz w:val="19"/>
            <w:szCs w:val="19"/>
            <w:u w:val="single"/>
            <w:lang w:eastAsia="fr-FR"/>
          </w:rPr>
          <w:t>loi n° 2014-366 du 24 mars 2014</w:t>
        </w:r>
      </w:hyperlink>
      <w:r w:rsidRPr="00874A27">
        <w:rPr>
          <w:rFonts w:ascii="Arial" w:eastAsia="Times New Roman" w:hAnsi="Arial" w:cs="Arial"/>
          <w:color w:val="000000"/>
          <w:sz w:val="19"/>
          <w:szCs w:val="19"/>
          <w:lang w:eastAsia="fr-FR"/>
        </w:rPr>
        <w:t> pour l'accès au logement et un urbanisme rénové, et n'emportant pas la création d'une surface de plancher de plus de 20 mètres carrés.</w:t>
      </w:r>
      <w:r w:rsidRPr="00874A27">
        <w:rPr>
          <w:rFonts w:ascii="Arial" w:eastAsia="Times New Roman" w:hAnsi="Arial" w:cs="Arial"/>
          <w:color w:val="000000"/>
          <w:sz w:val="19"/>
          <w:szCs w:val="19"/>
          <w:lang w:eastAsia="fr-FR"/>
        </w:rPr>
        <w:br/>
        <w:t>« Le propriétaire du site d'implantation bénéficiant de l'autorisation d'exploitation commerciale est responsable de l'organisation de son démantèlement et de la remise en état de ses terrains d'assiette s'il est mis fin à l'exploitation et qu'aucune réouverture au public n'intervient sur le même emplacement pendant un délai de trois ans, ce délai ne courant, en cas de procédure de redressement judiciaire de l'exploitant, que du jour où le propriétaire a recouvré la pleine et entière disposition des locaux.</w:t>
      </w:r>
      <w:r w:rsidRPr="00874A27">
        <w:rPr>
          <w:rFonts w:ascii="Arial" w:eastAsia="Times New Roman" w:hAnsi="Arial" w:cs="Arial"/>
          <w:color w:val="000000"/>
          <w:sz w:val="19"/>
          <w:szCs w:val="19"/>
          <w:lang w:eastAsia="fr-FR"/>
        </w:rPr>
        <w:br/>
        <w:t>« Un décret en Conseil d'Etat détermine les prescriptions générales régissant les opérations de démantèlement et de remise en état d'un site mentionnées à l'avant-dernier alinéa. Il détermine également les conditions de constatation par le représentant de l'Etat dans le département de la carence du ou des propriétaires mentionnés au même alinéa pour conduire ces opérations. » ;</w:t>
      </w:r>
      <w:r w:rsidRPr="00874A27">
        <w:rPr>
          <w:rFonts w:ascii="Arial" w:eastAsia="Times New Roman" w:hAnsi="Arial" w:cs="Arial"/>
          <w:color w:val="000000"/>
          <w:sz w:val="19"/>
          <w:szCs w:val="19"/>
          <w:lang w:eastAsia="fr-FR"/>
        </w:rPr>
        <w:br/>
        <w:t>2° L'article L. 752-3 est complété par un III ainsi rédigé :</w:t>
      </w:r>
      <w:r w:rsidRPr="00874A27">
        <w:rPr>
          <w:rFonts w:ascii="Arial" w:eastAsia="Times New Roman" w:hAnsi="Arial" w:cs="Arial"/>
          <w:color w:val="000000"/>
          <w:sz w:val="19"/>
          <w:szCs w:val="19"/>
          <w:lang w:eastAsia="fr-FR"/>
        </w:rPr>
        <w:br/>
        <w:t>« III. ― Au sens du présent code, constituent des points permanents de retrait par la clientèle d'achats au détail commandés par voie télématique, organisés pour l'accès en automobile, les installations, aménagements ou équipements conçus pour le retrait par la clientèle de marchandises commandées par voie télématique ainsi que les pistes de ravitaillement attenantes. » ;</w:t>
      </w:r>
      <w:r w:rsidRPr="00874A27">
        <w:rPr>
          <w:rFonts w:ascii="Arial" w:eastAsia="Times New Roman" w:hAnsi="Arial" w:cs="Arial"/>
          <w:color w:val="000000"/>
          <w:sz w:val="19"/>
          <w:szCs w:val="19"/>
          <w:lang w:eastAsia="fr-FR"/>
        </w:rPr>
        <w:br/>
        <w:t>3° A la première phrase du deuxième alinéa de l'article L. 752-4, les mots : « de coopération intercommunale ou du syndicat mixte visé aux articles L. 122-4 et L. 122-4-1 » sont remplacés par les mots : « prévu à l'article L. 122-4 » ;</w:t>
      </w:r>
      <w:r w:rsidRPr="00874A27">
        <w:rPr>
          <w:rFonts w:ascii="Arial" w:eastAsia="Times New Roman" w:hAnsi="Arial" w:cs="Arial"/>
          <w:color w:val="000000"/>
          <w:sz w:val="19"/>
          <w:szCs w:val="19"/>
          <w:lang w:eastAsia="fr-FR"/>
        </w:rPr>
        <w:br/>
        <w:t>4° A l'article L. 752-5, après le mot : « détail, », sont insérés les mots : « ou points permanents de retrait par la clientèle d'achats au détail commandés par voie télématique, organisés pour l'accès en automobile, » ;</w:t>
      </w:r>
      <w:r w:rsidRPr="00874A27">
        <w:rPr>
          <w:rFonts w:ascii="Arial" w:eastAsia="Times New Roman" w:hAnsi="Arial" w:cs="Arial"/>
          <w:color w:val="000000"/>
          <w:sz w:val="19"/>
          <w:szCs w:val="19"/>
          <w:lang w:eastAsia="fr-FR"/>
        </w:rPr>
        <w:br/>
        <w:t>5° Au dernier alinéa de l'article L. 752-15, après le mot : « détail », sont insérés les mots : « ou pour la création d'un point permanent de retrait par la clientèle d'achats au détail commandés par voie télématique, organisé pour l'accès en automobile, » ;</w:t>
      </w:r>
      <w:r w:rsidRPr="00874A27">
        <w:rPr>
          <w:rFonts w:ascii="Arial" w:eastAsia="Times New Roman" w:hAnsi="Arial" w:cs="Arial"/>
          <w:color w:val="000000"/>
          <w:sz w:val="19"/>
          <w:szCs w:val="19"/>
          <w:lang w:eastAsia="fr-FR"/>
        </w:rPr>
        <w:br/>
        <w:t>6° La section 2 du chapitre II du titre V du livre VII est complétée par un article L. 752-16 ainsi rétabli :</w:t>
      </w:r>
      <w:r w:rsidRPr="00874A27">
        <w:rPr>
          <w:rFonts w:ascii="Arial" w:eastAsia="Times New Roman" w:hAnsi="Arial" w:cs="Arial"/>
          <w:color w:val="000000"/>
          <w:sz w:val="19"/>
          <w:szCs w:val="19"/>
          <w:lang w:eastAsia="fr-FR"/>
        </w:rPr>
        <w:br/>
        <w:t>« Art. L. 752-16. - Pour les points permanents de retrait par la clientèle d'achats au détail mentionnés à l'article L. 752-3, l'autorisation est accordée par piste de ravitaillement et par mètre carré d'emprise au sol des surfaces, bâties ou non, affectées au retrait des marchandises. » ;</w:t>
      </w:r>
      <w:r w:rsidRPr="00874A27">
        <w:rPr>
          <w:rFonts w:ascii="Arial" w:eastAsia="Times New Roman" w:hAnsi="Arial" w:cs="Arial"/>
          <w:color w:val="000000"/>
          <w:sz w:val="19"/>
          <w:szCs w:val="19"/>
          <w:lang w:eastAsia="fr-FR"/>
        </w:rPr>
        <w:br/>
        <w:t>7° L'article L. 752-23 est ainsi modifié :</w:t>
      </w:r>
      <w:r w:rsidRPr="00874A27">
        <w:rPr>
          <w:rFonts w:ascii="Arial" w:eastAsia="Times New Roman" w:hAnsi="Arial" w:cs="Arial"/>
          <w:color w:val="000000"/>
          <w:sz w:val="19"/>
          <w:szCs w:val="19"/>
          <w:lang w:eastAsia="fr-FR"/>
        </w:rPr>
        <w:br/>
        <w:t>a) Après le premier alinéa, il est inséré un alinéa ainsi rédigé :</w:t>
      </w:r>
      <w:r w:rsidRPr="00874A27">
        <w:rPr>
          <w:rFonts w:ascii="Arial" w:eastAsia="Times New Roman" w:hAnsi="Arial" w:cs="Arial"/>
          <w:color w:val="000000"/>
          <w:sz w:val="19"/>
          <w:szCs w:val="19"/>
          <w:lang w:eastAsia="fr-FR"/>
        </w:rPr>
        <w:br/>
        <w:t>« Il en est de même en ce qui concerne les points permanents de retrait par la clientèle d'achats au détail mentionnés à l'article L. 752-3 lorsque les agents habilités constatent l'exploitation d'une surface d'emprise au sol ou d'un nombre de pistes de ravitaillement non autorisé. » ;</w:t>
      </w:r>
      <w:r w:rsidRPr="00874A27">
        <w:rPr>
          <w:rFonts w:ascii="Arial" w:eastAsia="Times New Roman" w:hAnsi="Arial" w:cs="Arial"/>
          <w:color w:val="000000"/>
          <w:sz w:val="19"/>
          <w:szCs w:val="19"/>
          <w:lang w:eastAsia="fr-FR"/>
        </w:rPr>
        <w:br/>
        <w:t>b) Après le deuxième alinéa, il est inséré un alinéa ainsi rédigé :</w:t>
      </w:r>
      <w:r w:rsidRPr="00874A27">
        <w:rPr>
          <w:rFonts w:ascii="Arial" w:eastAsia="Times New Roman" w:hAnsi="Arial" w:cs="Arial"/>
          <w:color w:val="000000"/>
          <w:sz w:val="19"/>
          <w:szCs w:val="19"/>
          <w:lang w:eastAsia="fr-FR"/>
        </w:rPr>
        <w:br/>
        <w:t>« En ce qui concerne les points permanents de retrait par la clientèle d'achats au détail, la surface mentionnée au troisième alinéa du présent article est égale à la somme des surfaces énoncées à l'article L. 752-16. »</w:t>
      </w:r>
      <w:r w:rsidRPr="00874A27">
        <w:rPr>
          <w:rFonts w:ascii="Arial" w:eastAsia="Times New Roman" w:hAnsi="Arial" w:cs="Arial"/>
          <w:color w:val="000000"/>
          <w:sz w:val="19"/>
          <w:szCs w:val="19"/>
          <w:lang w:eastAsia="fr-FR"/>
        </w:rPr>
        <w:br/>
        <w:t>c) Au troisième alinéa, le mot : « deuxième » est remplacé par le mot : « troisième ».</w:t>
      </w:r>
      <w:r w:rsidRPr="00874A27">
        <w:rPr>
          <w:rFonts w:ascii="Arial" w:eastAsia="Times New Roman" w:hAnsi="Arial" w:cs="Arial"/>
          <w:color w:val="000000"/>
          <w:sz w:val="19"/>
          <w:szCs w:val="19"/>
          <w:lang w:eastAsia="fr-FR"/>
        </w:rPr>
        <w:br/>
        <w:t>VII. ― Par dérogation aux </w:t>
      </w:r>
      <w:hyperlink r:id="rId560" w:history="1">
        <w:r w:rsidRPr="00874A27">
          <w:rPr>
            <w:rFonts w:ascii="Arial" w:eastAsia="Times New Roman" w:hAnsi="Arial" w:cs="Arial"/>
            <w:color w:val="336699"/>
            <w:sz w:val="19"/>
            <w:szCs w:val="19"/>
            <w:u w:val="single"/>
            <w:lang w:eastAsia="fr-FR"/>
          </w:rPr>
          <w:t>dispositions du 7° de l'article L. 752-1 du code de commerce</w:t>
        </w:r>
      </w:hyperlink>
      <w:r w:rsidRPr="00874A27">
        <w:rPr>
          <w:rFonts w:ascii="Arial" w:eastAsia="Times New Roman" w:hAnsi="Arial" w:cs="Arial"/>
          <w:color w:val="000000"/>
          <w:sz w:val="19"/>
          <w:szCs w:val="19"/>
          <w:lang w:eastAsia="fr-FR"/>
        </w:rPr>
        <w:t>, ne sont pas soumis à une autorisation d'exploitation commerciale les projets mentionnés à ce 7° pour lesquels, selon les cas, un permis a été accordé expressément ou tacitement ou une décision de non-opposition à une déclaration préalable est intervenue avant l'entrée en vigueur de la présente loi.</w:t>
      </w:r>
      <w:r w:rsidRPr="00874A27">
        <w:rPr>
          <w:rFonts w:ascii="Arial" w:eastAsia="Times New Roman" w:hAnsi="Arial" w:cs="Arial"/>
          <w:color w:val="000000"/>
          <w:sz w:val="19"/>
          <w:szCs w:val="19"/>
          <w:lang w:eastAsia="fr-FR"/>
        </w:rPr>
        <w:br/>
        <w:t>VIII. ― A la fin de la </w:t>
      </w:r>
      <w:hyperlink r:id="rId561" w:history="1">
        <w:r w:rsidRPr="00874A27">
          <w:rPr>
            <w:rFonts w:ascii="Arial" w:eastAsia="Times New Roman" w:hAnsi="Arial" w:cs="Arial"/>
            <w:color w:val="336699"/>
            <w:sz w:val="19"/>
            <w:szCs w:val="19"/>
            <w:u w:val="single"/>
            <w:lang w:eastAsia="fr-FR"/>
          </w:rPr>
          <w:t>seconde phrase du troisième alinéa du VIII de l'article 17 de la loi n° 2010-788 du 12 juillet 2010</w:t>
        </w:r>
      </w:hyperlink>
      <w:r w:rsidRPr="00874A27">
        <w:rPr>
          <w:rFonts w:ascii="Arial" w:eastAsia="Times New Roman" w:hAnsi="Arial" w:cs="Arial"/>
          <w:color w:val="000000"/>
          <w:sz w:val="19"/>
          <w:szCs w:val="19"/>
          <w:lang w:eastAsia="fr-FR"/>
        </w:rPr>
        <w:t> portant engagement national pour l'environnement, l'année : « 2016 » est remplacée par l'année : « 2017 ».</w:t>
      </w:r>
      <w:r w:rsidRPr="00874A27">
        <w:rPr>
          <w:rFonts w:ascii="Arial" w:eastAsia="Times New Roman" w:hAnsi="Arial" w:cs="Arial"/>
          <w:color w:val="000000"/>
          <w:sz w:val="19"/>
          <w:szCs w:val="19"/>
          <w:lang w:eastAsia="fr-FR"/>
        </w:rPr>
        <w:br/>
        <w:t>IX. ― A la première phrase du deuxième alinéa de l'article L. 4433-9 du code général des collectivités territoriales, les mots : « de coopération intercommunale et les syndicats mixtes chargés de l'élaboration et de l'approbation des schémas de cohérence territoriale en application des articles L. 122-4 et L. 122-4-1 » sont remplacés par les mots : « prévus à l'article L. 122-4 ».</w:t>
      </w:r>
      <w:r w:rsidRPr="00874A27">
        <w:rPr>
          <w:rFonts w:ascii="Arial" w:eastAsia="Times New Roman" w:hAnsi="Arial" w:cs="Arial"/>
          <w:color w:val="000000"/>
          <w:sz w:val="19"/>
          <w:szCs w:val="19"/>
          <w:lang w:eastAsia="fr-FR"/>
        </w:rPr>
        <w:br/>
        <w:t>X. ― Au deuxième alinéa de l'article L. 302-2 du code de la construction et de l'habitation, les références : « aux articles L. 122-4 et L. 122-4-1 » sont remplacées par la référence : « à l'article L. 122-4 ».</w:t>
      </w:r>
      <w:r w:rsidRPr="00874A27">
        <w:rPr>
          <w:rFonts w:ascii="Arial" w:eastAsia="Times New Roman" w:hAnsi="Arial" w:cs="Arial"/>
          <w:color w:val="000000"/>
          <w:sz w:val="19"/>
          <w:szCs w:val="19"/>
          <w:lang w:eastAsia="fr-FR"/>
        </w:rPr>
        <w:br/>
        <w:t>XI. ― Au premier alinéa de l'article L. 112-3 du code rural et de la pêche maritime, après le mot : « carrières », sont insérés les mots : « ou au schéma régional des carrières ».</w:t>
      </w:r>
      <w:r w:rsidRPr="00874A27">
        <w:rPr>
          <w:rFonts w:ascii="Arial" w:eastAsia="Times New Roman" w:hAnsi="Arial" w:cs="Arial"/>
          <w:color w:val="000000"/>
          <w:sz w:val="19"/>
          <w:szCs w:val="19"/>
          <w:lang w:eastAsia="fr-FR"/>
        </w:rPr>
        <w:br/>
        <w:t>XII. ― Au deuxième alinéa de l'article L. 1214-14 du code des transports, les mots : « mentionné aux articles L. 122-4 et L. 122-4-1 » sont remplacés par les mots : « prévu à l'article L. 122-4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29" w:name="JORFARTI000028773154"/>
      <w:bookmarkEnd w:id="129"/>
      <w:r w:rsidRPr="00874A27">
        <w:rPr>
          <w:rFonts w:ascii="Arial" w:eastAsia="Times New Roman" w:hAnsi="Arial" w:cs="Arial"/>
          <w:b/>
          <w:bCs/>
          <w:color w:val="000000"/>
          <w:sz w:val="23"/>
          <w:szCs w:val="23"/>
          <w:lang w:eastAsia="fr-FR"/>
        </w:rPr>
        <w:lastRenderedPageBreak/>
        <w:t>Article 130 </w:t>
      </w:r>
      <w:hyperlink r:id="rId562" w:tooltip="En savoir plus sur l'article 13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Au second alinéa du II de l'article L. 123-13, au second alinéa de l'article L. 123-13-1 et au premier alinéa du I de l'article L. 123-14-2 du code de l'urbanisme, les références : « au premier alinéa du I et au III de l'article L. 121-4 » sont remplacées par les références : « aux I et III de l'article L. 121-4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30" w:name="JORFARTI000028773157"/>
      <w:bookmarkEnd w:id="130"/>
      <w:r w:rsidRPr="00874A27">
        <w:rPr>
          <w:rFonts w:ascii="Arial" w:eastAsia="Times New Roman" w:hAnsi="Arial" w:cs="Arial"/>
          <w:b/>
          <w:bCs/>
          <w:color w:val="000000"/>
          <w:sz w:val="23"/>
          <w:szCs w:val="23"/>
          <w:lang w:eastAsia="fr-FR"/>
        </w:rPr>
        <w:t>Article 131 </w:t>
      </w:r>
      <w:hyperlink r:id="rId563" w:tooltip="En savoir plus sur l'article 13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Les établissements publics mentionnés à l'</w:t>
      </w:r>
      <w:hyperlink r:id="rId564" w:history="1">
        <w:r w:rsidRPr="00874A27">
          <w:rPr>
            <w:rFonts w:ascii="Arial" w:eastAsia="Times New Roman" w:hAnsi="Arial" w:cs="Arial"/>
            <w:color w:val="336699"/>
            <w:sz w:val="19"/>
            <w:szCs w:val="19"/>
            <w:u w:val="single"/>
            <w:lang w:eastAsia="fr-FR"/>
          </w:rPr>
          <w:t>article L. 122-4 du code de l'urbanisme</w:t>
        </w:r>
      </w:hyperlink>
      <w:r w:rsidRPr="00874A27">
        <w:rPr>
          <w:rFonts w:ascii="Arial" w:eastAsia="Times New Roman" w:hAnsi="Arial" w:cs="Arial"/>
          <w:color w:val="000000"/>
          <w:sz w:val="19"/>
          <w:szCs w:val="19"/>
          <w:lang w:eastAsia="fr-FR"/>
        </w:rPr>
        <w:t> dont les périmètres sont contigus peuvent s'engager dans une démarche « inter-SCOT » afin d'assurer la cohérence des projets stratégiques d'aménagement et de développement équilibré inscrits dans leurs schémas de cohérence territoriale ainsi que la complémentarité des objectifs et orientations sur des enjeux communs pour l'équilibre de leurs territoires.</w:t>
      </w:r>
    </w:p>
    <w:p w:rsidR="00874A27" w:rsidRPr="00874A27" w:rsidRDefault="00874A27" w:rsidP="00874A27">
      <w:pPr>
        <w:numPr>
          <w:ilvl w:val="1"/>
          <w:numId w:val="4"/>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II : Mesures relatives à la modernisation des documents de planification communaux et intercommunaux</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1 : Prise en compte de l'ensemble des modes d'habitat</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31" w:name="JORFARTI000028774393"/>
      <w:bookmarkEnd w:id="131"/>
      <w:r w:rsidRPr="00874A27">
        <w:rPr>
          <w:rFonts w:ascii="Arial" w:eastAsia="Times New Roman" w:hAnsi="Arial" w:cs="Arial"/>
          <w:b/>
          <w:bCs/>
          <w:color w:val="000000"/>
          <w:sz w:val="23"/>
          <w:szCs w:val="23"/>
          <w:lang w:eastAsia="fr-FR"/>
        </w:rPr>
        <w:t>Article 132 </w:t>
      </w:r>
      <w:hyperlink r:id="rId565" w:tooltip="En savoir plus sur l'article 13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l'urbanisme est ainsi modifié :</w:t>
      </w:r>
      <w:r w:rsidRPr="00874A27">
        <w:rPr>
          <w:rFonts w:ascii="Arial" w:eastAsia="Times New Roman" w:hAnsi="Arial" w:cs="Arial"/>
          <w:color w:val="000000"/>
          <w:sz w:val="19"/>
          <w:szCs w:val="19"/>
          <w:lang w:eastAsia="fr-FR"/>
        </w:rPr>
        <w:br/>
        <w:t>1° A l'intitulé du chapitre IV du titre IV du livre IV, le mot : « caravanes » est remplacé par les mots : « résidences mobiles ou démontables » ;</w:t>
      </w:r>
      <w:r w:rsidRPr="00874A27">
        <w:rPr>
          <w:rFonts w:ascii="Arial" w:eastAsia="Times New Roman" w:hAnsi="Arial" w:cs="Arial"/>
          <w:color w:val="000000"/>
          <w:sz w:val="19"/>
          <w:szCs w:val="19"/>
          <w:lang w:eastAsia="fr-FR"/>
        </w:rPr>
        <w:br/>
        <w:t>2° L'article L. 444-1 est ainsi modifié :</w:t>
      </w:r>
      <w:r w:rsidRPr="00874A27">
        <w:rPr>
          <w:rFonts w:ascii="Arial" w:eastAsia="Times New Roman" w:hAnsi="Arial" w:cs="Arial"/>
          <w:color w:val="000000"/>
          <w:sz w:val="19"/>
          <w:szCs w:val="19"/>
          <w:lang w:eastAsia="fr-FR"/>
        </w:rPr>
        <w:br/>
        <w:t>« a) La première phrase est ainsi rédigée :</w:t>
      </w:r>
      <w:r w:rsidRPr="00874A27">
        <w:rPr>
          <w:rFonts w:ascii="Arial" w:eastAsia="Times New Roman" w:hAnsi="Arial" w:cs="Arial"/>
          <w:color w:val="000000"/>
          <w:sz w:val="19"/>
          <w:szCs w:val="19"/>
          <w:lang w:eastAsia="fr-FR"/>
        </w:rPr>
        <w:br/>
        <w:t>« L'aménagement de terrains bâtis ou non bâtis, pour permettre l'installation de résidences démontables constituant l'habitat permanent de leurs utilisateurs définies par décret en Conseil d'Etat ou de résidences mobiles au sens de l'</w:t>
      </w:r>
      <w:hyperlink r:id="rId566" w:history="1">
        <w:r w:rsidRPr="00874A27">
          <w:rPr>
            <w:rFonts w:ascii="Arial" w:eastAsia="Times New Roman" w:hAnsi="Arial" w:cs="Arial"/>
            <w:color w:val="336699"/>
            <w:sz w:val="19"/>
            <w:szCs w:val="19"/>
            <w:u w:val="single"/>
            <w:lang w:eastAsia="fr-FR"/>
          </w:rPr>
          <w:t>article 1er de la loi n° 2000-614 du 5 juillet 2000</w:t>
        </w:r>
      </w:hyperlink>
      <w:r w:rsidRPr="00874A27">
        <w:rPr>
          <w:rFonts w:ascii="Arial" w:eastAsia="Times New Roman" w:hAnsi="Arial" w:cs="Arial"/>
          <w:color w:val="000000"/>
          <w:sz w:val="19"/>
          <w:szCs w:val="19"/>
          <w:lang w:eastAsia="fr-FR"/>
        </w:rPr>
        <w:t> relative à l'accueil et à l'habitat des gens du voyage, est soumis à permis d'aménager ou à déclaration préalable, dans des conditions fixées par décret en Conseil d'Etat. » ;</w:t>
      </w:r>
      <w:r w:rsidRPr="00874A27">
        <w:rPr>
          <w:rFonts w:ascii="Arial" w:eastAsia="Times New Roman" w:hAnsi="Arial" w:cs="Arial"/>
          <w:color w:val="000000"/>
          <w:sz w:val="19"/>
          <w:szCs w:val="19"/>
          <w:lang w:eastAsia="fr-FR"/>
        </w:rPr>
        <w:br/>
        <w:t>b) Est ajoutée une phrase ainsi rédigée :</w:t>
      </w:r>
      <w:r w:rsidRPr="00874A27">
        <w:rPr>
          <w:rFonts w:ascii="Arial" w:eastAsia="Times New Roman" w:hAnsi="Arial" w:cs="Arial"/>
          <w:color w:val="000000"/>
          <w:sz w:val="19"/>
          <w:szCs w:val="19"/>
          <w:lang w:eastAsia="fr-FR"/>
        </w:rPr>
        <w:br/>
        <w:t>« Ils peuvent être autorisés dans des secteurs de taille et de capacité d'accueil limitées, dans les conditions prévues au 6° du II de l'article L. 123-1-5. » ;</w:t>
      </w:r>
      <w:r w:rsidRPr="00874A27">
        <w:rPr>
          <w:rFonts w:ascii="Arial" w:eastAsia="Times New Roman" w:hAnsi="Arial" w:cs="Arial"/>
          <w:color w:val="000000"/>
          <w:sz w:val="19"/>
          <w:szCs w:val="19"/>
          <w:lang w:eastAsia="fr-FR"/>
        </w:rPr>
        <w:br/>
        <w:t>3° L'article L. 111-4 est complété par deux alinéas ainsi rédigés :</w:t>
      </w:r>
      <w:r w:rsidRPr="00874A27">
        <w:rPr>
          <w:rFonts w:ascii="Arial" w:eastAsia="Times New Roman" w:hAnsi="Arial" w:cs="Arial"/>
          <w:color w:val="000000"/>
          <w:sz w:val="19"/>
          <w:szCs w:val="19"/>
          <w:lang w:eastAsia="fr-FR"/>
        </w:rPr>
        <w:br/>
        <w:t>« Les deux premiers alinéas s'appliquent aux demandes d'autorisation concernant les terrains aménagés pour permettre l'installation de résidences démontables constituant l'habitat permanent de leurs utilisateurs.</w:t>
      </w:r>
      <w:r w:rsidRPr="00874A27">
        <w:rPr>
          <w:rFonts w:ascii="Arial" w:eastAsia="Times New Roman" w:hAnsi="Arial" w:cs="Arial"/>
          <w:color w:val="000000"/>
          <w:sz w:val="19"/>
          <w:szCs w:val="19"/>
          <w:lang w:eastAsia="fr-FR"/>
        </w:rPr>
        <w:br/>
        <w:t>« Un décret en Conseil d'Etat définit pour ces projets les conditions dans lesquelles le demandeur s'engage, dans le dossier de demande d'autorisation, sur le respect des conditions d'hygiène et de sécurité ainsi que les conditions de satisfaction des besoins en eau, assainissement et électricité des habitants, le cas échéant, fixées par le plan local d'urbanisme. » ;</w:t>
      </w:r>
      <w:r w:rsidRPr="00874A27">
        <w:rPr>
          <w:rFonts w:ascii="Arial" w:eastAsia="Times New Roman" w:hAnsi="Arial" w:cs="Arial"/>
          <w:color w:val="000000"/>
          <w:sz w:val="19"/>
          <w:szCs w:val="19"/>
          <w:lang w:eastAsia="fr-FR"/>
        </w:rPr>
        <w:br/>
        <w:t>4° L'article L. 121-1 est ainsi modifié :</w:t>
      </w:r>
      <w:r w:rsidRPr="00874A27">
        <w:rPr>
          <w:rFonts w:ascii="Arial" w:eastAsia="Times New Roman" w:hAnsi="Arial" w:cs="Arial"/>
          <w:color w:val="000000"/>
          <w:sz w:val="19"/>
          <w:szCs w:val="19"/>
          <w:lang w:eastAsia="fr-FR"/>
        </w:rPr>
        <w:br/>
        <w:t>a) Le 1° est complété par un d ainsi rédigé :</w:t>
      </w:r>
      <w:r w:rsidRPr="00874A27">
        <w:rPr>
          <w:rFonts w:ascii="Arial" w:eastAsia="Times New Roman" w:hAnsi="Arial" w:cs="Arial"/>
          <w:color w:val="000000"/>
          <w:sz w:val="19"/>
          <w:szCs w:val="19"/>
          <w:lang w:eastAsia="fr-FR"/>
        </w:rPr>
        <w:br/>
        <w:t>« d) Les besoins en matière de mobilité. » ;</w:t>
      </w:r>
      <w:r w:rsidRPr="00874A27">
        <w:rPr>
          <w:rFonts w:ascii="Arial" w:eastAsia="Times New Roman" w:hAnsi="Arial" w:cs="Arial"/>
          <w:color w:val="000000"/>
          <w:sz w:val="19"/>
          <w:szCs w:val="19"/>
          <w:lang w:eastAsia="fr-FR"/>
        </w:rPr>
        <w:br/>
        <w:t>b) Au 1° bis, après le mot : « paysagère », il est inséré le mot : « , notamment » ;</w:t>
      </w:r>
      <w:r w:rsidRPr="00874A27">
        <w:rPr>
          <w:rFonts w:ascii="Arial" w:eastAsia="Times New Roman" w:hAnsi="Arial" w:cs="Arial"/>
          <w:color w:val="000000"/>
          <w:sz w:val="19"/>
          <w:szCs w:val="19"/>
          <w:lang w:eastAsia="fr-FR"/>
        </w:rPr>
        <w:br/>
        <w:t>c) Le 2° est ainsi modifié :</w:t>
      </w:r>
      <w:r w:rsidRPr="00874A27">
        <w:rPr>
          <w:rFonts w:ascii="Arial" w:eastAsia="Times New Roman" w:hAnsi="Arial" w:cs="Arial"/>
          <w:color w:val="000000"/>
          <w:sz w:val="19"/>
          <w:szCs w:val="19"/>
          <w:lang w:eastAsia="fr-FR"/>
        </w:rPr>
        <w:br/>
        <w:t>― les mots : « en matière » sont remplacés par les mots : « de l'ensemble des modes » ;</w:t>
      </w:r>
      <w:r w:rsidRPr="00874A27">
        <w:rPr>
          <w:rFonts w:ascii="Arial" w:eastAsia="Times New Roman" w:hAnsi="Arial" w:cs="Arial"/>
          <w:color w:val="000000"/>
          <w:sz w:val="19"/>
          <w:szCs w:val="19"/>
          <w:lang w:eastAsia="fr-FR"/>
        </w:rPr>
        <w:br/>
        <w:t>― les mots : « et de développement des transports collectifs » sont remplacés par les mots : « motorisés et de développement des transports alternatifs à l'usage individuel de l'automobile » ;</w:t>
      </w:r>
      <w:r w:rsidRPr="00874A27">
        <w:rPr>
          <w:rFonts w:ascii="Arial" w:eastAsia="Times New Roman" w:hAnsi="Arial" w:cs="Arial"/>
          <w:color w:val="000000"/>
          <w:sz w:val="19"/>
          <w:szCs w:val="19"/>
          <w:lang w:eastAsia="fr-FR"/>
        </w:rPr>
        <w:br/>
        <w:t>d) Au 3°, après le mot : « prévisibles, », sont insérés les mots : « des risques miniers, ».</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2 : Modernisation des cartes communales</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32" w:name="JORFARTI000028774407"/>
      <w:bookmarkEnd w:id="132"/>
      <w:r w:rsidRPr="00874A27">
        <w:rPr>
          <w:rFonts w:ascii="Arial" w:eastAsia="Times New Roman" w:hAnsi="Arial" w:cs="Arial"/>
          <w:b/>
          <w:bCs/>
          <w:color w:val="000000"/>
          <w:sz w:val="23"/>
          <w:szCs w:val="23"/>
          <w:lang w:eastAsia="fr-FR"/>
        </w:rPr>
        <w:t>Article 133 </w:t>
      </w:r>
      <w:hyperlink r:id="rId567" w:tooltip="En savoir plus sur l'article 13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I. ― Le 2° du II de l'article L. 121-10 du même code est ainsi rédigé :</w:t>
      </w:r>
      <w:r w:rsidRPr="00874A27">
        <w:rPr>
          <w:rFonts w:ascii="Arial" w:eastAsia="Times New Roman" w:hAnsi="Arial" w:cs="Arial"/>
          <w:color w:val="000000"/>
          <w:sz w:val="19"/>
          <w:szCs w:val="19"/>
          <w:lang w:eastAsia="fr-FR"/>
        </w:rPr>
        <w:br/>
        <w:t>« 2° Les cartes communales qui sont susceptibles d'avoir des incidences notables sur l'environnement, au sens de l'annexe II à la directive 2001/42/CE du Parlement européen et du Conseil du 27 juin 2001 précitée, au regard, notamment, de la superficie du territoire auquel elles s'appliquent, de la nature, de la sensibilité et de l'étendue des territoires couverts par les secteurs qu'elles déterminent, dans des conditions précisées par décret en Conseil d'Etat ; ».</w:t>
      </w:r>
      <w:r w:rsidRPr="00874A27">
        <w:rPr>
          <w:rFonts w:ascii="Arial" w:eastAsia="Times New Roman" w:hAnsi="Arial" w:cs="Arial"/>
          <w:color w:val="000000"/>
          <w:sz w:val="19"/>
          <w:szCs w:val="19"/>
          <w:lang w:eastAsia="fr-FR"/>
        </w:rPr>
        <w:br/>
        <w:t>II. ― L'article L. 124-2 du même code est ainsi modifié :</w:t>
      </w:r>
      <w:r w:rsidRPr="00874A27">
        <w:rPr>
          <w:rFonts w:ascii="Arial" w:eastAsia="Times New Roman" w:hAnsi="Arial" w:cs="Arial"/>
          <w:color w:val="000000"/>
          <w:sz w:val="19"/>
          <w:szCs w:val="19"/>
          <w:lang w:eastAsia="fr-FR"/>
        </w:rPr>
        <w:br/>
        <w:t>1° Les trois premières phrases du troisième alinéa sont remplacées par cinq phrases ainsi rédigées :</w:t>
      </w:r>
      <w:r w:rsidRPr="00874A27">
        <w:rPr>
          <w:rFonts w:ascii="Arial" w:eastAsia="Times New Roman" w:hAnsi="Arial" w:cs="Arial"/>
          <w:color w:val="000000"/>
          <w:sz w:val="19"/>
          <w:szCs w:val="19"/>
          <w:lang w:eastAsia="fr-FR"/>
        </w:rPr>
        <w:br/>
        <w:t>« La carte communale est élaborée à l'initiative de la commune ou de l'établissement public de coopération intercommunale compétent. Elle est soumise pour avis à la chambre d'agriculture et à la commission départementale de la consommation des espaces agricoles prévue à l'</w:t>
      </w:r>
      <w:hyperlink r:id="rId568" w:history="1">
        <w:r w:rsidRPr="00874A27">
          <w:rPr>
            <w:rFonts w:ascii="Arial" w:eastAsia="Times New Roman" w:hAnsi="Arial" w:cs="Arial"/>
            <w:color w:val="336699"/>
            <w:sz w:val="19"/>
            <w:szCs w:val="19"/>
            <w:u w:val="single"/>
            <w:lang w:eastAsia="fr-FR"/>
          </w:rPr>
          <w:t>article L. 112-1-1 du code rural et de la pêche maritime</w:t>
        </w:r>
      </w:hyperlink>
      <w:r w:rsidRPr="00874A27">
        <w:rPr>
          <w:rFonts w:ascii="Arial" w:eastAsia="Times New Roman" w:hAnsi="Arial" w:cs="Arial"/>
          <w:color w:val="000000"/>
          <w:sz w:val="19"/>
          <w:szCs w:val="19"/>
          <w:lang w:eastAsia="fr-FR"/>
        </w:rPr>
        <w:t>. Cette commission rend son avis au plus tard deux mois après la transmission du projet de carte par le maire ou le président de l'établissement public de coopération intercommunale compétent. A défaut, cet avis est réputé favorable. La carte communale est soumise à enquête publique réalisée conformément au chapitre III du titre II du livre Ier du code de l'environnement. » ;</w:t>
      </w:r>
      <w:r w:rsidRPr="00874A27">
        <w:rPr>
          <w:rFonts w:ascii="Arial" w:eastAsia="Times New Roman" w:hAnsi="Arial" w:cs="Arial"/>
          <w:color w:val="000000"/>
          <w:sz w:val="19"/>
          <w:szCs w:val="19"/>
          <w:lang w:eastAsia="fr-FR"/>
        </w:rPr>
        <w:br/>
        <w:t>2° A la seconde phrase du quatrième alinéa, le mot : « zones » est remplacé par le mot : « espaces » ;</w:t>
      </w:r>
      <w:r w:rsidRPr="00874A27">
        <w:rPr>
          <w:rFonts w:ascii="Arial" w:eastAsia="Times New Roman" w:hAnsi="Arial" w:cs="Arial"/>
          <w:color w:val="000000"/>
          <w:sz w:val="19"/>
          <w:szCs w:val="19"/>
          <w:lang w:eastAsia="fr-FR"/>
        </w:rPr>
        <w:br/>
        <w:t>3° La dernière phrase du sixième alinéa est ainsi rédigée :</w:t>
      </w:r>
      <w:r w:rsidRPr="00874A27">
        <w:rPr>
          <w:rFonts w:ascii="Arial" w:eastAsia="Times New Roman" w:hAnsi="Arial" w:cs="Arial"/>
          <w:color w:val="000000"/>
          <w:sz w:val="19"/>
          <w:szCs w:val="19"/>
          <w:lang w:eastAsia="fr-FR"/>
        </w:rPr>
        <w:br/>
        <w:t>« Les modalités de la mise à disposition sont précisées par l'organe délibérant de l'établissement public de coopération intercommunale ou le conseil municipal et portées à la connaissance du public au moins huit jours avant le début de cette mise à disposition. » ;</w:t>
      </w:r>
      <w:r w:rsidRPr="00874A27">
        <w:rPr>
          <w:rFonts w:ascii="Arial" w:eastAsia="Times New Roman" w:hAnsi="Arial" w:cs="Arial"/>
          <w:color w:val="000000"/>
          <w:sz w:val="19"/>
          <w:szCs w:val="19"/>
          <w:lang w:eastAsia="fr-FR"/>
        </w:rPr>
        <w:br/>
        <w:t>4° Le dernier alinéa est remplacé par trois alinéas ainsi rédigés :</w:t>
      </w:r>
      <w:r w:rsidRPr="00874A27">
        <w:rPr>
          <w:rFonts w:ascii="Arial" w:eastAsia="Times New Roman" w:hAnsi="Arial" w:cs="Arial"/>
          <w:color w:val="000000"/>
          <w:sz w:val="19"/>
          <w:szCs w:val="19"/>
          <w:lang w:eastAsia="fr-FR"/>
        </w:rPr>
        <w:br/>
        <w:t>« Elle doit être compatible, s'il y a lieu, avec les dispositions du schéma de cohérence territoriale, du schéma de secteur, du schéma de mise en valeur de la mer, ainsi que du plan de déplacements urbains et du programme local de l'habitat.</w:t>
      </w:r>
      <w:r w:rsidRPr="00874A27">
        <w:rPr>
          <w:rFonts w:ascii="Arial" w:eastAsia="Times New Roman" w:hAnsi="Arial" w:cs="Arial"/>
          <w:color w:val="000000"/>
          <w:sz w:val="19"/>
          <w:szCs w:val="19"/>
          <w:lang w:eastAsia="fr-FR"/>
        </w:rPr>
        <w:br/>
        <w:t>« En cas de modification du périmètre d'un établissement public de coopération intercommunale compétent en matière de plan local d'urbanisme ou en cas de fusion d'au moins deux établissements publics de coopération intercommunale, les dispositions des cartes communales applicables aux territoires concernés par cette modification ou cette fusion restent applicables. Elles peuvent être révisées ou modifiées par l'établissement public de coopération intercommunale nouvellement compétent jusqu'à l'approbation ou la révision d'un plan local d'urbanisme couvrant l'intégralité du territoire de l'établissement public de coopération intercommunale concerné.</w:t>
      </w:r>
      <w:r w:rsidRPr="00874A27">
        <w:rPr>
          <w:rFonts w:ascii="Arial" w:eastAsia="Times New Roman" w:hAnsi="Arial" w:cs="Arial"/>
          <w:color w:val="000000"/>
          <w:sz w:val="19"/>
          <w:szCs w:val="19"/>
          <w:lang w:eastAsia="fr-FR"/>
        </w:rPr>
        <w:br/>
        <w:t>« Lorsque le périmètre d'une carte communale est intégré dans sa totalité dans le périmètre d'un établissement public de coopération intercommunale compétent ou lorsqu'au moins deux établissements publics de coopération intercommunale fusionnent, l'établissement public nouvellement compétent peut, dans un délai de deux ans à compter de l'intégration ou de la fusion, achever dans leur périmètre initial les procédures d'élaboration, de révision ou de modification simplifiée des cartes communales engagées avant l'intégration ou la fusion. Dans ce cas, l'établissement public nouvellement compétent est substitué de plein droit, à la date de l'intégration ou de la fusion, dans tous les actes et délibérations afférents à la procédure engagée avant l'intégration ou la fusion. »</w:t>
      </w:r>
      <w:r w:rsidRPr="00874A27">
        <w:rPr>
          <w:rFonts w:ascii="Arial" w:eastAsia="Times New Roman" w:hAnsi="Arial" w:cs="Arial"/>
          <w:color w:val="000000"/>
          <w:sz w:val="19"/>
          <w:szCs w:val="19"/>
          <w:lang w:eastAsia="fr-FR"/>
        </w:rPr>
        <w:br/>
        <w:t>III. ― L'article L. 126-1 du même code est ainsi modifié :</w:t>
      </w:r>
      <w:r w:rsidRPr="00874A27">
        <w:rPr>
          <w:rFonts w:ascii="Arial" w:eastAsia="Times New Roman" w:hAnsi="Arial" w:cs="Arial"/>
          <w:color w:val="000000"/>
          <w:sz w:val="19"/>
          <w:szCs w:val="19"/>
          <w:lang w:eastAsia="fr-FR"/>
        </w:rPr>
        <w:br/>
        <w:t>1° Au premier alinéa, après le mot : « urbanisme », sont insérés les mots : « et les cartes communales » ;</w:t>
      </w:r>
      <w:r w:rsidRPr="00874A27">
        <w:rPr>
          <w:rFonts w:ascii="Arial" w:eastAsia="Times New Roman" w:hAnsi="Arial" w:cs="Arial"/>
          <w:color w:val="000000"/>
          <w:sz w:val="19"/>
          <w:szCs w:val="19"/>
          <w:lang w:eastAsia="fr-FR"/>
        </w:rPr>
        <w:br/>
        <w:t>2° A la première phrase du deuxième alinéa, après le mot : « urbanisme », sont insérés les mots : « ou à la carte communale » ;</w:t>
      </w:r>
      <w:r w:rsidRPr="00874A27">
        <w:rPr>
          <w:rFonts w:ascii="Arial" w:eastAsia="Times New Roman" w:hAnsi="Arial" w:cs="Arial"/>
          <w:color w:val="000000"/>
          <w:sz w:val="19"/>
          <w:szCs w:val="19"/>
          <w:lang w:eastAsia="fr-FR"/>
        </w:rPr>
        <w:br/>
        <w:t>3° Le dernier alinéa est ainsi modifié :</w:t>
      </w:r>
      <w:r w:rsidRPr="00874A27">
        <w:rPr>
          <w:rFonts w:ascii="Arial" w:eastAsia="Times New Roman" w:hAnsi="Arial" w:cs="Arial"/>
          <w:color w:val="000000"/>
          <w:sz w:val="19"/>
          <w:szCs w:val="19"/>
          <w:lang w:eastAsia="fr-FR"/>
        </w:rPr>
        <w:br/>
        <w:t>a) A la première phrase, après les mots : « du plan », sont insérés les mots : « ou de la carte communale » et, après les mots : « au plan », sont insérés les mots : « ou à la carte » ;</w:t>
      </w:r>
      <w:r w:rsidRPr="00874A27">
        <w:rPr>
          <w:rFonts w:ascii="Arial" w:eastAsia="Times New Roman" w:hAnsi="Arial" w:cs="Arial"/>
          <w:color w:val="000000"/>
          <w:sz w:val="19"/>
          <w:szCs w:val="19"/>
          <w:lang w:eastAsia="fr-FR"/>
        </w:rPr>
        <w:br/>
        <w:t>b) A la seconde phrase, après le mot : « plan », sont insérés les mots : « ou la carte ».</w:t>
      </w:r>
      <w:r w:rsidRPr="00874A27">
        <w:rPr>
          <w:rFonts w:ascii="Arial" w:eastAsia="Times New Roman" w:hAnsi="Arial" w:cs="Arial"/>
          <w:color w:val="000000"/>
          <w:sz w:val="19"/>
          <w:szCs w:val="19"/>
          <w:lang w:eastAsia="fr-FR"/>
        </w:rPr>
        <w:br/>
        <w:t>IV. ― Au sixième alinéa de l'article L. 141-5 du même code, après les mots : « aux plans locaux d'urbanisme », sont insérés les mots : « ou aux cartes communales ».</w:t>
      </w:r>
      <w:r w:rsidRPr="00874A27">
        <w:rPr>
          <w:rFonts w:ascii="Arial" w:eastAsia="Times New Roman" w:hAnsi="Arial" w:cs="Arial"/>
          <w:color w:val="000000"/>
          <w:sz w:val="19"/>
          <w:szCs w:val="19"/>
          <w:lang w:eastAsia="fr-FR"/>
        </w:rPr>
        <w:br/>
        <w:t>V. ― Les 1° et 2° du II et le III du présent article ne s'appliquent pas aux procédures d'élaboration ou de révision des cartes communales dans lesquelles l'avis prescrivant l'ouverture de l'enquête publique a été publié à la date de publication de la présente loi.</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3 : Compétence des communes en matière de délivrance des autorisations d'urbanisme</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33" w:name="JORFARTI000028774423"/>
      <w:bookmarkEnd w:id="133"/>
      <w:r w:rsidRPr="00874A27">
        <w:rPr>
          <w:rFonts w:ascii="Arial" w:eastAsia="Times New Roman" w:hAnsi="Arial" w:cs="Arial"/>
          <w:b/>
          <w:bCs/>
          <w:color w:val="000000"/>
          <w:sz w:val="23"/>
          <w:szCs w:val="23"/>
          <w:lang w:eastAsia="fr-FR"/>
        </w:rPr>
        <w:t>Article 134 </w:t>
      </w:r>
      <w:hyperlink r:id="rId569" w:tooltip="En savoir plus sur l'article 13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I. ― Le a de l'article L. 422-1 du code de l'urbanisme est ainsi rédigé :</w:t>
      </w:r>
      <w:r w:rsidRPr="00874A27">
        <w:rPr>
          <w:rFonts w:ascii="Arial" w:eastAsia="Times New Roman" w:hAnsi="Arial" w:cs="Arial"/>
          <w:color w:val="000000"/>
          <w:sz w:val="19"/>
          <w:szCs w:val="19"/>
          <w:lang w:eastAsia="fr-FR"/>
        </w:rPr>
        <w:br/>
        <w:t>« a) Le maire, au nom de la commune, dans les communes qui se sont dotées d'un plan local d'urbanisme ou d'un document d'urbanisme en tenant lieu, ainsi que dans les communes qui se sont dotées d'une carte communale après la date de publication de la </w:t>
      </w:r>
      <w:hyperlink r:id="rId570" w:history="1">
        <w:r w:rsidRPr="00874A27">
          <w:rPr>
            <w:rFonts w:ascii="Arial" w:eastAsia="Times New Roman" w:hAnsi="Arial" w:cs="Arial"/>
            <w:color w:val="336699"/>
            <w:sz w:val="19"/>
            <w:szCs w:val="19"/>
            <w:u w:val="single"/>
            <w:lang w:eastAsia="fr-FR"/>
          </w:rPr>
          <w:t>loi n° 2014-366 du 24 mars 2014 </w:t>
        </w:r>
      </w:hyperlink>
      <w:r w:rsidRPr="00874A27">
        <w:rPr>
          <w:rFonts w:ascii="Arial" w:eastAsia="Times New Roman" w:hAnsi="Arial" w:cs="Arial"/>
          <w:color w:val="000000"/>
          <w:sz w:val="19"/>
          <w:szCs w:val="19"/>
          <w:lang w:eastAsia="fr-FR"/>
        </w:rPr>
        <w:t>pour l'accès au logement et un urbanisme rénové. Dans les communes qui se sont dotées d'une carte communale avant cette date, le maire est compétent, au nom de la commune, après délibération du conseil municipal. En l'absence de décision du conseil municipal, le maire est compétent, au nom de la commune, à compter du 1er janvier 2017. Lorsque le transfert de compétence à la commune est intervenu, il est définitif ; ».</w:t>
      </w:r>
      <w:r w:rsidRPr="00874A27">
        <w:rPr>
          <w:rFonts w:ascii="Arial" w:eastAsia="Times New Roman" w:hAnsi="Arial" w:cs="Arial"/>
          <w:color w:val="000000"/>
          <w:sz w:val="19"/>
          <w:szCs w:val="19"/>
          <w:lang w:eastAsia="fr-FR"/>
        </w:rPr>
        <w:br/>
        <w:t>II. ― A la première phrase du premier alinéa de l'article L. 422-8 du même code, les mots : « ou lorsque l'établissement public de coopération intercommunale compétent groupe des communes dont la population totale est inférieure à 20 000 » sont remplacés par les mots : « et ne fait pas partie d'un établissement public de coopération intercommunale regroupant 10 000 habitants ou plus, ou lorsque l'établissement public de coopération intercommunale compétent regroupe des communes dont la population totale est inférieure à 10 000 » ;</w:t>
      </w:r>
      <w:r w:rsidRPr="00874A27">
        <w:rPr>
          <w:rFonts w:ascii="Arial" w:eastAsia="Times New Roman" w:hAnsi="Arial" w:cs="Arial"/>
          <w:color w:val="000000"/>
          <w:sz w:val="19"/>
          <w:szCs w:val="19"/>
          <w:lang w:eastAsia="fr-FR"/>
        </w:rPr>
        <w:br/>
        <w:t>III. ― Le </w:t>
      </w:r>
      <w:hyperlink r:id="rId571" w:history="1">
        <w:r w:rsidRPr="00874A27">
          <w:rPr>
            <w:rFonts w:ascii="Arial" w:eastAsia="Times New Roman" w:hAnsi="Arial" w:cs="Arial"/>
            <w:color w:val="336699"/>
            <w:sz w:val="19"/>
            <w:szCs w:val="19"/>
            <w:u w:val="single"/>
            <w:lang w:eastAsia="fr-FR"/>
          </w:rPr>
          <w:t>premier alinéa de l'article L. 422-8 du code de l'urbanisme</w:t>
        </w:r>
      </w:hyperlink>
      <w:r w:rsidRPr="00874A27">
        <w:rPr>
          <w:rFonts w:ascii="Arial" w:eastAsia="Times New Roman" w:hAnsi="Arial" w:cs="Arial"/>
          <w:color w:val="000000"/>
          <w:sz w:val="19"/>
          <w:szCs w:val="19"/>
          <w:lang w:eastAsia="fr-FR"/>
        </w:rPr>
        <w:t>, dans sa rédaction résultant du II du présent article, entre en vigueur à compter du 1er juillet 2015. Toutefois, lorsque les seuils mentionnés au même premier alinéa sont dépassés en raison de la création, après le 1er juillet 2015, d'un nouvel établissement de coopération intercommunale de 10 000 habitants ou plus, la mise à disposition ne peut pas prendre fin avant un délai d'un an à compter de la création de cet établissement.</w:t>
      </w:r>
      <w:r w:rsidRPr="00874A27">
        <w:rPr>
          <w:rFonts w:ascii="Arial" w:eastAsia="Times New Roman" w:hAnsi="Arial" w:cs="Arial"/>
          <w:color w:val="000000"/>
          <w:sz w:val="19"/>
          <w:szCs w:val="19"/>
          <w:lang w:eastAsia="fr-FR"/>
        </w:rPr>
        <w:br/>
        <w:t>Une convention entre l'Etat et la collectivité territoriale définit l'étendue et les modalités de cette mise à disposition des services déconcentrés de l'Etat. Pour les collectivités qui sont tenues de mettre fin au recours à la mise à disposition des services de l'Etat, une convention de transition peut être établie pour définir les modalités d'accompagnement de l'Etat.</w:t>
      </w:r>
      <w:r w:rsidRPr="00874A27">
        <w:rPr>
          <w:rFonts w:ascii="Arial" w:eastAsia="Times New Roman" w:hAnsi="Arial" w:cs="Arial"/>
          <w:color w:val="000000"/>
          <w:sz w:val="19"/>
          <w:szCs w:val="19"/>
          <w:lang w:eastAsia="fr-FR"/>
        </w:rPr>
        <w:br/>
        <w:t>IV. ― Après le premier alinéa de l'article L. 423-1 du code de l'urbanisme, il est inséré un alinéa ainsi rédigé :</w:t>
      </w:r>
      <w:r w:rsidRPr="00874A27">
        <w:rPr>
          <w:rFonts w:ascii="Arial" w:eastAsia="Times New Roman" w:hAnsi="Arial" w:cs="Arial"/>
          <w:color w:val="000000"/>
          <w:sz w:val="19"/>
          <w:szCs w:val="19"/>
          <w:lang w:eastAsia="fr-FR"/>
        </w:rPr>
        <w:br/>
        <w:t>« Sur demande du maire, un plan intérieur du projet concerné doit être joint au dossier de demande de permis de construire ou à la déclaration préalable lorsque les demandes de permis de construire ou les déclarations préalables concernent la construction de logements collectifs. »</w:t>
      </w:r>
      <w:r w:rsidRPr="00874A27">
        <w:rPr>
          <w:rFonts w:ascii="Arial" w:eastAsia="Times New Roman" w:hAnsi="Arial" w:cs="Arial"/>
          <w:color w:val="000000"/>
          <w:sz w:val="19"/>
          <w:szCs w:val="19"/>
          <w:lang w:eastAsia="fr-FR"/>
        </w:rPr>
        <w:br/>
        <w:t>V. ― L'article L. 424-5 du même code est ainsi rédigé :</w:t>
      </w:r>
      <w:r w:rsidRPr="00874A27">
        <w:rPr>
          <w:rFonts w:ascii="Arial" w:eastAsia="Times New Roman" w:hAnsi="Arial" w:cs="Arial"/>
          <w:color w:val="000000"/>
          <w:sz w:val="19"/>
          <w:szCs w:val="19"/>
          <w:lang w:eastAsia="fr-FR"/>
        </w:rPr>
        <w:br/>
        <w:t>« Art. L. 424-5.-La décision de non-opposition à une déclaration préalable ou le permis de construire ou d'aménager ou de démolir, tacite ou explicite, ne peuvent être retirés que s'ils sont illégaux et dans le délai de trois mois suivant la date de ces décisions. Passé ce délai, la décision de non-opposition et le permis ne peuvent être retirés que sur demande expresse de leur bénéficiaire. »</w:t>
      </w:r>
      <w:r w:rsidRPr="00874A27">
        <w:rPr>
          <w:rFonts w:ascii="Arial" w:eastAsia="Times New Roman" w:hAnsi="Arial" w:cs="Arial"/>
          <w:color w:val="000000"/>
          <w:sz w:val="19"/>
          <w:szCs w:val="19"/>
          <w:lang w:eastAsia="fr-FR"/>
        </w:rPr>
        <w:br/>
        <w:t>VI. ― Un rapport du Gouvernement au Parlement sur les aides techniques de l'Etat aux collectivités territoriales en matière d'urbanisme, de gestion du foncier et d'aménagement du territoire est remis au plus tard le 1er janvier 2015.</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4 : Transformation des plans d'occupation des sols en plans locaux d'urbanisme</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34" w:name="JORFARTI000028774433"/>
      <w:bookmarkEnd w:id="134"/>
      <w:r w:rsidRPr="00874A27">
        <w:rPr>
          <w:rFonts w:ascii="Arial" w:eastAsia="Times New Roman" w:hAnsi="Arial" w:cs="Arial"/>
          <w:b/>
          <w:bCs/>
          <w:color w:val="000000"/>
          <w:sz w:val="23"/>
          <w:szCs w:val="23"/>
          <w:lang w:eastAsia="fr-FR"/>
        </w:rPr>
        <w:t>Article 135 </w:t>
      </w:r>
      <w:hyperlink r:id="rId572" w:tooltip="En savoir plus sur l'article 13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123-19 du code de l'urbanisme est ainsi modifié :</w:t>
      </w:r>
      <w:r w:rsidRPr="00874A27">
        <w:rPr>
          <w:rFonts w:ascii="Arial" w:eastAsia="Times New Roman" w:hAnsi="Arial" w:cs="Arial"/>
          <w:color w:val="000000"/>
          <w:sz w:val="19"/>
          <w:szCs w:val="19"/>
          <w:lang w:eastAsia="fr-FR"/>
        </w:rPr>
        <w:br/>
        <w:t>1° Au dernier alinéa, la référence : « la dernière phrase du cinquième alinéa » est remplacée par la référence : « le deuxième alinéa du IV » ;</w:t>
      </w:r>
      <w:r w:rsidRPr="00874A27">
        <w:rPr>
          <w:rFonts w:ascii="Arial" w:eastAsia="Times New Roman" w:hAnsi="Arial" w:cs="Arial"/>
          <w:color w:val="000000"/>
          <w:sz w:val="19"/>
          <w:szCs w:val="19"/>
          <w:lang w:eastAsia="fr-FR"/>
        </w:rPr>
        <w:br/>
        <w:t>2° Sont ajoutés deux alinéas ainsi rédigés :</w:t>
      </w:r>
      <w:r w:rsidRPr="00874A27">
        <w:rPr>
          <w:rFonts w:ascii="Arial" w:eastAsia="Times New Roman" w:hAnsi="Arial" w:cs="Arial"/>
          <w:color w:val="000000"/>
          <w:sz w:val="19"/>
          <w:szCs w:val="19"/>
          <w:lang w:eastAsia="fr-FR"/>
        </w:rPr>
        <w:br/>
        <w:t>« Les plans d'occupation des sols qui n'ont pas été mis en forme de plan local d'urbanisme, en application des articles L. 123-1 et suivants, au plus tard le 31 décembre 2015 sont caducs à compter de cette date. La caducité du plan d'occupation des sols ne remet pas en vigueur le document d'urbanisme antérieur. A compter du 1er janvier 2016, les règles générales d'urbanisme prises en application de l'article L. 111-1 s'appliquent sur le territoire communal dont le plan d'occupation des sols est caduc.</w:t>
      </w:r>
      <w:r w:rsidRPr="00874A27">
        <w:rPr>
          <w:rFonts w:ascii="Arial" w:eastAsia="Times New Roman" w:hAnsi="Arial" w:cs="Arial"/>
          <w:color w:val="000000"/>
          <w:sz w:val="19"/>
          <w:szCs w:val="19"/>
          <w:lang w:eastAsia="fr-FR"/>
        </w:rPr>
        <w:br/>
        <w:t xml:space="preserve">« Toutefois, lorsqu'une procédure de révision du plan d'occupation des sols a été engagée avant le 31 décembre 2015, cette procédure peut être menée à terme en application des articles L. 123-1 et suivants, dans leur rédaction en vigueur avant la publication de la loi n° 2014-366 du 24 mars 2014 pour l'accès au logement et un urbanisme rénové, sous réserve d'être achevée au plus tard trois ans à compter de la publication de cette même loi. Les dispositions du plan d'occupation des sols restent </w:t>
      </w:r>
      <w:r w:rsidRPr="00874A27">
        <w:rPr>
          <w:rFonts w:ascii="Arial" w:eastAsia="Times New Roman" w:hAnsi="Arial" w:cs="Arial"/>
          <w:color w:val="000000"/>
          <w:sz w:val="19"/>
          <w:szCs w:val="19"/>
          <w:lang w:eastAsia="fr-FR"/>
        </w:rPr>
        <w:lastRenderedPageBreak/>
        <w:t>en vigueur jusqu'à l'approbation du plan local d'urbanisme et au plus tard jusqu'à l'expiration de ce délai de trois ans. »</w:t>
      </w:r>
      <w:r w:rsidRPr="00874A27">
        <w:rPr>
          <w:rFonts w:ascii="Arial" w:eastAsia="Times New Roman" w:hAnsi="Arial" w:cs="Arial"/>
          <w:color w:val="000000"/>
          <w:sz w:val="19"/>
          <w:szCs w:val="19"/>
          <w:lang w:eastAsia="fr-FR"/>
        </w:rPr>
        <w:br/>
        <w:t>II. ― L'article L. 422-6 du même code est complété par un alinéa ainsi rédigé :</w:t>
      </w:r>
      <w:r w:rsidRPr="00874A27">
        <w:rPr>
          <w:rFonts w:ascii="Arial" w:eastAsia="Times New Roman" w:hAnsi="Arial" w:cs="Arial"/>
          <w:color w:val="000000"/>
          <w:sz w:val="19"/>
          <w:szCs w:val="19"/>
          <w:lang w:eastAsia="fr-FR"/>
        </w:rPr>
        <w:br/>
        <w:t>« Le premier alinéa s'applique également lorsque le plan d'occupation des sols est rendu caduc en application de l'article L. 123-19. »</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5 : Transfert de compétences, modernisation du plan local d'urbanisme communautaire et évolution des périmètres des plans locaux d'urbanisme</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35" w:name="JORFARTI000028774440"/>
      <w:bookmarkEnd w:id="135"/>
      <w:r w:rsidRPr="00874A27">
        <w:rPr>
          <w:rFonts w:ascii="Arial" w:eastAsia="Times New Roman" w:hAnsi="Arial" w:cs="Arial"/>
          <w:b/>
          <w:bCs/>
          <w:color w:val="000000"/>
          <w:sz w:val="23"/>
          <w:szCs w:val="23"/>
          <w:lang w:eastAsia="fr-FR"/>
        </w:rPr>
        <w:t>Article 136 </w:t>
      </w:r>
      <w:hyperlink r:id="rId573" w:tooltip="En savoir plus sur l'article 13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général des collectivités territoriales est ainsi modifié :</w:t>
      </w:r>
      <w:r w:rsidRPr="00874A27">
        <w:rPr>
          <w:rFonts w:ascii="Arial" w:eastAsia="Times New Roman" w:hAnsi="Arial" w:cs="Arial"/>
          <w:color w:val="000000"/>
          <w:sz w:val="19"/>
          <w:szCs w:val="19"/>
          <w:lang w:eastAsia="fr-FR"/>
        </w:rPr>
        <w:br/>
        <w:t>1° Le I de l'article L. 5214-16 est ainsi modifié :</w:t>
      </w:r>
      <w:r w:rsidRPr="00874A27">
        <w:rPr>
          <w:rFonts w:ascii="Arial" w:eastAsia="Times New Roman" w:hAnsi="Arial" w:cs="Arial"/>
          <w:color w:val="000000"/>
          <w:sz w:val="19"/>
          <w:szCs w:val="19"/>
          <w:lang w:eastAsia="fr-FR"/>
        </w:rPr>
        <w:br/>
        <w:t>a) Au premier alinéa, les mots : « des compétences » sont remplacés par les mots : « les compétences » ;</w:t>
      </w:r>
      <w:r w:rsidRPr="00874A27">
        <w:rPr>
          <w:rFonts w:ascii="Arial" w:eastAsia="Times New Roman" w:hAnsi="Arial" w:cs="Arial"/>
          <w:color w:val="000000"/>
          <w:sz w:val="19"/>
          <w:szCs w:val="19"/>
          <w:lang w:eastAsia="fr-FR"/>
        </w:rPr>
        <w:br/>
        <w:t>b) Le 1° est ainsi rédigé :</w:t>
      </w:r>
      <w:r w:rsidRPr="00874A27">
        <w:rPr>
          <w:rFonts w:ascii="Arial" w:eastAsia="Times New Roman" w:hAnsi="Arial" w:cs="Arial"/>
          <w:color w:val="000000"/>
          <w:sz w:val="19"/>
          <w:szCs w:val="19"/>
          <w:lang w:eastAsia="fr-FR"/>
        </w:rPr>
        <w:br/>
        <w:t>« 1° Aménagement de l'espace pour la conduite d'actions d'intérêt communautaire ; schéma de cohérence territoriale et schéma de secteur ; plan local d'urbanisme, document d'urbanisme en tenant lieu et carte communale ; » ;</w:t>
      </w:r>
      <w:r w:rsidRPr="00874A27">
        <w:rPr>
          <w:rFonts w:ascii="Arial" w:eastAsia="Times New Roman" w:hAnsi="Arial" w:cs="Arial"/>
          <w:color w:val="000000"/>
          <w:sz w:val="19"/>
          <w:szCs w:val="19"/>
          <w:lang w:eastAsia="fr-FR"/>
        </w:rPr>
        <w:br/>
        <w:t>2° Aux 2° de l'article L. 5214-23-1 et du I de l'article L. 5216-5, après le mot : « secteur ; », sont insérés les mots : « plan local d'urbanisme, document d'urbanisme en tenant lieu et carte communale ; ».</w:t>
      </w:r>
      <w:r w:rsidRPr="00874A27">
        <w:rPr>
          <w:rFonts w:ascii="Arial" w:eastAsia="Times New Roman" w:hAnsi="Arial" w:cs="Arial"/>
          <w:color w:val="000000"/>
          <w:sz w:val="19"/>
          <w:szCs w:val="19"/>
          <w:lang w:eastAsia="fr-FR"/>
        </w:rPr>
        <w:br/>
        <w:t>II. ― La communauté de communes ou la communauté d'agglomération existant à la date de publication de la présente loi, ou celle créée ou issue d'une fusion après la date de publication de cette même loi, et qui n'est pas compétente en matière de plan local d'urbanisme, de documents d'urbanisme en tenant lieu ou de carte communale le devient le lendemain de l'expiration d'un délai de trois ans à compter de la publication de ladite loi. Si, dans les trois mois précédant le terme du délai de trois ans mentionné précédemment, au moins 25 % des communes représentant au moins 20 % de la population s'y opposent, ce transfert de compétences n'a pas lieu.</w:t>
      </w:r>
      <w:r w:rsidRPr="00874A27">
        <w:rPr>
          <w:rFonts w:ascii="Arial" w:eastAsia="Times New Roman" w:hAnsi="Arial" w:cs="Arial"/>
          <w:color w:val="000000"/>
          <w:sz w:val="19"/>
          <w:szCs w:val="19"/>
          <w:lang w:eastAsia="fr-FR"/>
        </w:rPr>
        <w:br/>
        <w:t>Si, à l'expiration d'un délai de trois ans à compter de la publication de la présente loi, la communauté de communes ou la communauté d'agglomération n'est pas devenue compétente en matière de plan local d'urbanisme, de documents d'urbanisme en tenant lieu ou de carte communale, elle le devient de plein droit le premier jour de l'année suivant l'élection du président de la communauté consécutive au renouvellement général des conseils municipaux et communautaires, sauf si les communes s'y opposent dans les conditions prévues au premier alinéa du présent II.</w:t>
      </w:r>
      <w:r w:rsidRPr="00874A27">
        <w:rPr>
          <w:rFonts w:ascii="Arial" w:eastAsia="Times New Roman" w:hAnsi="Arial" w:cs="Arial"/>
          <w:color w:val="000000"/>
          <w:sz w:val="19"/>
          <w:szCs w:val="19"/>
          <w:lang w:eastAsia="fr-FR"/>
        </w:rPr>
        <w:br/>
        <w:t>Si, à l'expiration d'un délai de trois ans à compter de la publication de la présente loi, la communauté de communes ou la communauté d'agglomération n'est pas devenue compétente en matière de plan local d'urbanisme, de documents d'urbanisme en tenant lieu ou de carte communale, l'organe délibérant de l'établissement public de coopération intercommunale peut également à tout moment se prononcer par un vote sur le transfert de cette compétence à la communauté. S'il se prononce en faveur du transfert, cette compétence est transférée à la communauté, sauf si les communes membres s'y opposent dans les conditions prévues au premier alinéa du présent II, dans les trois mois suivant le vote de l'organe délibérant de l'établissement public de coopération intercommunale à fiscalité propre.</w:t>
      </w:r>
      <w:r w:rsidRPr="00874A27">
        <w:rPr>
          <w:rFonts w:ascii="Arial" w:eastAsia="Times New Roman" w:hAnsi="Arial" w:cs="Arial"/>
          <w:color w:val="000000"/>
          <w:sz w:val="19"/>
          <w:szCs w:val="19"/>
          <w:lang w:eastAsia="fr-FR"/>
        </w:rPr>
        <w:br/>
        <w:t>III. ― Dans les trois ans qui suivent la publication de la présente loi, les communes membres d'une communauté de communes ou d'une communauté d'agglomération peuvent transférer la compétence en matière de plan local d'urbanisme, de documents d'urbanisme en tenant lieu ou de carte communale, mentionnée au II du présent article, selon les modalités prévues à l'</w:t>
      </w:r>
      <w:hyperlink r:id="rId574" w:history="1">
        <w:r w:rsidRPr="00874A27">
          <w:rPr>
            <w:rFonts w:ascii="Arial" w:eastAsia="Times New Roman" w:hAnsi="Arial" w:cs="Arial"/>
            <w:color w:val="336699"/>
            <w:sz w:val="19"/>
            <w:szCs w:val="19"/>
            <w:u w:val="single"/>
            <w:lang w:eastAsia="fr-FR"/>
          </w:rPr>
          <w:t>article L. 5211-17 du code général des collectivités territoriales</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IV. ― Si une commune membre de la communauté de communes ou de la communauté d'agglomération a engagé, avant la date de transfert de la compétence, une procédure d'élaboration, de révision, de modification ou de mise en compatibilité avec une déclaration de projet d'un plan local d'urbanisme, d'un document d'urbanisme en tenant lieu ou d'une carte communale, la communauté de communes ou la communauté d'agglomération devenue compétente peut décider, en accord avec cette commune, de poursuivre sur son périmètre initial ladite procédure.</w:t>
      </w:r>
      <w:r w:rsidRPr="00874A27">
        <w:rPr>
          <w:rFonts w:ascii="Arial" w:eastAsia="Times New Roman" w:hAnsi="Arial" w:cs="Arial"/>
          <w:color w:val="000000"/>
          <w:sz w:val="19"/>
          <w:szCs w:val="19"/>
          <w:lang w:eastAsia="fr-FR"/>
        </w:rPr>
        <w:br/>
        <w:t>V. ― La section 10 du chapitre Ier du titre Ier du livre II de la cinquième partie du code général des collectivités territoriales est complétée par un article L. 5211-62 ainsi rédigé :</w:t>
      </w:r>
      <w:r w:rsidRPr="00874A27">
        <w:rPr>
          <w:rFonts w:ascii="Arial" w:eastAsia="Times New Roman" w:hAnsi="Arial" w:cs="Arial"/>
          <w:color w:val="000000"/>
          <w:sz w:val="19"/>
          <w:szCs w:val="19"/>
          <w:lang w:eastAsia="fr-FR"/>
        </w:rPr>
        <w:br/>
        <w:t xml:space="preserve">« Art. L. 5211-62. - Lorsqu'un établissement public de coopération intercommunale à fiscalité propre </w:t>
      </w:r>
      <w:r w:rsidRPr="00874A27">
        <w:rPr>
          <w:rFonts w:ascii="Arial" w:eastAsia="Times New Roman" w:hAnsi="Arial" w:cs="Arial"/>
          <w:color w:val="000000"/>
          <w:sz w:val="19"/>
          <w:szCs w:val="19"/>
          <w:lang w:eastAsia="fr-FR"/>
        </w:rPr>
        <w:lastRenderedPageBreak/>
        <w:t>exerce la compétence relative au plan local d'urbanisme, son organe délibérant tient, au moins une fois par an, un débat portant sur la politique locale de l'urbanisme.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36" w:name="JORFARTI000028774449"/>
      <w:bookmarkEnd w:id="136"/>
      <w:r w:rsidRPr="00874A27">
        <w:rPr>
          <w:rFonts w:ascii="Arial" w:eastAsia="Times New Roman" w:hAnsi="Arial" w:cs="Arial"/>
          <w:b/>
          <w:bCs/>
          <w:color w:val="000000"/>
          <w:sz w:val="23"/>
          <w:szCs w:val="23"/>
          <w:lang w:eastAsia="fr-FR"/>
        </w:rPr>
        <w:t>Article 137 </w:t>
      </w:r>
      <w:hyperlink r:id="rId575" w:tooltip="En savoir plus sur l'article 13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de l'urbanisme est ainsi modifié :</w:t>
      </w:r>
      <w:r w:rsidRPr="00874A27">
        <w:rPr>
          <w:rFonts w:ascii="Arial" w:eastAsia="Times New Roman" w:hAnsi="Arial" w:cs="Arial"/>
          <w:color w:val="000000"/>
          <w:sz w:val="19"/>
          <w:szCs w:val="19"/>
          <w:lang w:eastAsia="fr-FR"/>
        </w:rPr>
        <w:br/>
        <w:t>1° Au premier alinéa du I de l'article L. 121-4, les mots : « compétentes en matière d'organisation des transports urbains » sont remplacés par les mots : « organisatrices prévues à l'article L. 1231-1 du code des transports » ;</w:t>
      </w:r>
      <w:r w:rsidRPr="00874A27">
        <w:rPr>
          <w:rFonts w:ascii="Arial" w:eastAsia="Times New Roman" w:hAnsi="Arial" w:cs="Arial"/>
          <w:color w:val="000000"/>
          <w:sz w:val="19"/>
          <w:szCs w:val="19"/>
          <w:lang w:eastAsia="fr-FR"/>
        </w:rPr>
        <w:br/>
        <w:t>2° L'article L. 123-1 est ainsi modifié :</w:t>
      </w:r>
      <w:r w:rsidRPr="00874A27">
        <w:rPr>
          <w:rFonts w:ascii="Arial" w:eastAsia="Times New Roman" w:hAnsi="Arial" w:cs="Arial"/>
          <w:color w:val="000000"/>
          <w:sz w:val="19"/>
          <w:szCs w:val="19"/>
          <w:lang w:eastAsia="fr-FR"/>
        </w:rPr>
        <w:br/>
        <w:t>a) Au début du premier alinéa, est ajoutée la mention : « I. ― » ;</w:t>
      </w:r>
      <w:r w:rsidRPr="00874A27">
        <w:rPr>
          <w:rFonts w:ascii="Arial" w:eastAsia="Times New Roman" w:hAnsi="Arial" w:cs="Arial"/>
          <w:color w:val="000000"/>
          <w:sz w:val="19"/>
          <w:szCs w:val="19"/>
          <w:lang w:eastAsia="fr-FR"/>
        </w:rPr>
        <w:br/>
        <w:t>b) Après la deuxième phrase du premier alinéa, est insérée une phrase ainsi rédigée :</w:t>
      </w:r>
      <w:r w:rsidRPr="00874A27">
        <w:rPr>
          <w:rFonts w:ascii="Arial" w:eastAsia="Times New Roman" w:hAnsi="Arial" w:cs="Arial"/>
          <w:color w:val="000000"/>
          <w:sz w:val="19"/>
          <w:szCs w:val="19"/>
          <w:lang w:eastAsia="fr-FR"/>
        </w:rPr>
        <w:br/>
        <w:t>« Lorsque le plan local d'urbanisme tient lieu de programme local de l'habitat ou de plan de déplacements urbains, il comprend également un programme d'orientations et d'actions. » ;</w:t>
      </w:r>
      <w:r w:rsidRPr="00874A27">
        <w:rPr>
          <w:rFonts w:ascii="Arial" w:eastAsia="Times New Roman" w:hAnsi="Arial" w:cs="Arial"/>
          <w:color w:val="000000"/>
          <w:sz w:val="19"/>
          <w:szCs w:val="19"/>
          <w:lang w:eastAsia="fr-FR"/>
        </w:rPr>
        <w:br/>
        <w:t>c) Après le premier alinéa, il est inséré un alinéa ainsi rédigé :</w:t>
      </w:r>
      <w:r w:rsidRPr="00874A27">
        <w:rPr>
          <w:rFonts w:ascii="Arial" w:eastAsia="Times New Roman" w:hAnsi="Arial" w:cs="Arial"/>
          <w:color w:val="000000"/>
          <w:sz w:val="19"/>
          <w:szCs w:val="19"/>
          <w:lang w:eastAsia="fr-FR"/>
        </w:rPr>
        <w:br/>
        <w:t>« Le programme d'orientations et d'actions comprend toute mesure ou tout élément d'information nécessaire à la mise en œuvre de la politique de l'habitat ou des transports et des déplacements définie par le plan local d'urbanisme tenant lieu de programme local de l'habitat ou de plan de déplacements urbains. » ;</w:t>
      </w:r>
      <w:r w:rsidRPr="00874A27">
        <w:rPr>
          <w:rFonts w:ascii="Arial" w:eastAsia="Times New Roman" w:hAnsi="Arial" w:cs="Arial"/>
          <w:color w:val="000000"/>
          <w:sz w:val="19"/>
          <w:szCs w:val="19"/>
          <w:lang w:eastAsia="fr-FR"/>
        </w:rPr>
        <w:br/>
        <w:t>d) Le deuxième alinéa est ainsi modifié :</w:t>
      </w:r>
      <w:r w:rsidRPr="00874A27">
        <w:rPr>
          <w:rFonts w:ascii="Arial" w:eastAsia="Times New Roman" w:hAnsi="Arial" w:cs="Arial"/>
          <w:color w:val="000000"/>
          <w:sz w:val="19"/>
          <w:szCs w:val="19"/>
          <w:lang w:eastAsia="fr-FR"/>
        </w:rPr>
        <w:br/>
        <w:t>― au début, est ajoutée la mention : « II. ―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L'établissement public de coopération intercommunale compétent engage une procédure d'élaboration ou de révision d'un plan local d'urbanisme couvrant l'intégralité de son territoire lorsqu'il le décide et, au plus tard, lorsqu'il révise un des plans locaux d'urbanisme applicables dans son périmètre. » ;</w:t>
      </w:r>
      <w:r w:rsidRPr="00874A27">
        <w:rPr>
          <w:rFonts w:ascii="Arial" w:eastAsia="Times New Roman" w:hAnsi="Arial" w:cs="Arial"/>
          <w:color w:val="000000"/>
          <w:sz w:val="19"/>
          <w:szCs w:val="19"/>
          <w:lang w:eastAsia="fr-FR"/>
        </w:rPr>
        <w:br/>
        <w:t>e) Après le deuxième alinéa, sont insérés cinq alinéas ainsi rédigés :</w:t>
      </w:r>
      <w:r w:rsidRPr="00874A27">
        <w:rPr>
          <w:rFonts w:ascii="Arial" w:eastAsia="Times New Roman" w:hAnsi="Arial" w:cs="Arial"/>
          <w:color w:val="000000"/>
          <w:sz w:val="19"/>
          <w:szCs w:val="19"/>
          <w:lang w:eastAsia="fr-FR"/>
        </w:rPr>
        <w:br/>
        <w:t>« Lorsqu'il est élaboré par un établissement public de coopération intercommunale ou par la Métropole de Lyon, le plan local d'urbanisme peut tenir lieu de programme local de l'habitat. Dans ce cas, il poursuit les objectifs énoncés à l'article L. 302-1 du code de la construction et de l'habitation.</w:t>
      </w:r>
      <w:r w:rsidRPr="00874A27">
        <w:rPr>
          <w:rFonts w:ascii="Arial" w:eastAsia="Times New Roman" w:hAnsi="Arial" w:cs="Arial"/>
          <w:color w:val="000000"/>
          <w:sz w:val="19"/>
          <w:szCs w:val="19"/>
          <w:lang w:eastAsia="fr-FR"/>
        </w:rPr>
        <w:br/>
        <w:t>« Lorsqu'il est élaboré par un établissement public de coopération intercommunale compétent qui est autorité organisatrice au sens de l'article L. 1231-1 du code des transports, le plan local d'urbanisme peut tenir lieu de plan de déplacements urbains. Dans ce cas, il poursuit les objectifs énoncés aux articles L. 1214-1 et L. 1214-2 du même code. Il comprend le ou les plans de mise en accessibilité de la voirie et des espaces publics, prévus à l'article 45 de la loi n° 2005-102 du 11 février 2005 pour l'égalité des droits et des chances, la participation et la citoyenneté des personnes handicapées, applicables sur le territoire de l'établissement public de coopération intercommunale.</w:t>
      </w:r>
      <w:r w:rsidRPr="00874A27">
        <w:rPr>
          <w:rFonts w:ascii="Arial" w:eastAsia="Times New Roman" w:hAnsi="Arial" w:cs="Arial"/>
          <w:color w:val="000000"/>
          <w:sz w:val="19"/>
          <w:szCs w:val="19"/>
          <w:lang w:eastAsia="fr-FR"/>
        </w:rPr>
        <w:br/>
        <w:t>« Lorsqu'une communauté de communes de moins de 30 000 habitants élabore un plan local d'urbanisme tenant lieu de programme local de l'habitat ou lorsqu'un établissement public de coopération intercommunale qui n'est pas soumis à l'obligation d'élaborer un plan de déplacements urbains en application de l'article L. 1214-3 du code des transports élabore un plan local d'urbanisme tenant lieu de plan de déplacements urbains, ce plan comprend un programme d'orientations et d'actions et, si nécessaire, des dispositions relatives à l'habitat ou aux transports et déplacements dans les orientations d'aménagement et de programmation.</w:t>
      </w:r>
      <w:r w:rsidRPr="00874A27">
        <w:rPr>
          <w:rFonts w:ascii="Arial" w:eastAsia="Times New Roman" w:hAnsi="Arial" w:cs="Arial"/>
          <w:color w:val="000000"/>
          <w:sz w:val="19"/>
          <w:szCs w:val="19"/>
          <w:lang w:eastAsia="fr-FR"/>
        </w:rPr>
        <w:br/>
        <w:t>« Lorsque le programme local de l'habitat ou le plan de déplacements urbains arrive à échéance ou lorsque l'expiration du délai de validité du programme local de l'habitat ou du plan de déplacements urbains intervient avant la délibération portant approbation d'un plan local d'urbanisme tenant lieu de programme local de l'habitat ou de plan de déplacements urbains, ce programme ou ce plan peut être prorogé jusqu'à l'approbation du plan local d'urbanisme. Cette prorogation est décidée, pour une durée de trois ans renouvelable une fois, par délibération de l'organe délibérant de l'établissement public de coopération intercommunale compétent, et après accord du préfet de département.</w:t>
      </w:r>
      <w:r w:rsidRPr="00874A27">
        <w:rPr>
          <w:rFonts w:ascii="Arial" w:eastAsia="Times New Roman" w:hAnsi="Arial" w:cs="Arial"/>
          <w:color w:val="000000"/>
          <w:sz w:val="19"/>
          <w:szCs w:val="19"/>
          <w:lang w:eastAsia="fr-FR"/>
        </w:rPr>
        <w:br/>
        <w:t>« Il en est de même lorsqu'un plan local d'urbanisme élaboré par un établissement public de coopération intercommunale est révisé pour intégrer les dispositions tenant lieu de programme local de l'habitat ou de plan de déplacements urbains. » ;</w:t>
      </w:r>
      <w:r w:rsidRPr="00874A27">
        <w:rPr>
          <w:rFonts w:ascii="Arial" w:eastAsia="Times New Roman" w:hAnsi="Arial" w:cs="Arial"/>
          <w:color w:val="000000"/>
          <w:sz w:val="19"/>
          <w:szCs w:val="19"/>
          <w:lang w:eastAsia="fr-FR"/>
        </w:rPr>
        <w:br/>
        <w:t>f) Au début des troisième, quatrième, sixième et septième alinéas, sont ajoutées, respectivement, les mentions : « III. ― », « IV. ― », « V. ― » et « VI. ― » ;</w:t>
      </w:r>
      <w:r w:rsidRPr="00874A27">
        <w:rPr>
          <w:rFonts w:ascii="Arial" w:eastAsia="Times New Roman" w:hAnsi="Arial" w:cs="Arial"/>
          <w:color w:val="000000"/>
          <w:sz w:val="19"/>
          <w:szCs w:val="19"/>
          <w:lang w:eastAsia="fr-FR"/>
        </w:rPr>
        <w:br/>
        <w:t>g) Après le sixième alinéa, il est inséré un alinéa ainsi rédigé :</w:t>
      </w:r>
      <w:r w:rsidRPr="00874A27">
        <w:rPr>
          <w:rFonts w:ascii="Arial" w:eastAsia="Times New Roman" w:hAnsi="Arial" w:cs="Arial"/>
          <w:color w:val="000000"/>
          <w:sz w:val="19"/>
          <w:szCs w:val="19"/>
          <w:lang w:eastAsia="fr-FR"/>
        </w:rPr>
        <w:br/>
        <w:t>« En cas de déclaration d'illégalité ou d'annulation par voie juridictionnelle de l'intégralité d'un plan local d'urbanisme couvrant le territoire d'une commune située dans le périmètre d'un établissement public de coopération intercommunale compétent, celui-ci peut approuver un plan local d'urbanisme sur le territoire de la commune concernée. »</w:t>
      </w:r>
      <w:r w:rsidRPr="00874A27">
        <w:rPr>
          <w:rFonts w:ascii="Arial" w:eastAsia="Times New Roman" w:hAnsi="Arial" w:cs="Arial"/>
          <w:color w:val="000000"/>
          <w:sz w:val="19"/>
          <w:szCs w:val="19"/>
          <w:lang w:eastAsia="fr-FR"/>
        </w:rPr>
        <w:br/>
        <w:t>h) Les huitième à dernier alinéas sont supprimés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3° L'article L. 123-1-1 est ainsi rétabli :</w:t>
      </w:r>
      <w:r w:rsidRPr="00874A27">
        <w:rPr>
          <w:rFonts w:ascii="Arial" w:eastAsia="Times New Roman" w:hAnsi="Arial" w:cs="Arial"/>
          <w:color w:val="000000"/>
          <w:sz w:val="19"/>
          <w:szCs w:val="19"/>
          <w:lang w:eastAsia="fr-FR"/>
        </w:rPr>
        <w:br/>
        <w:t>« Art. L. 123-1-1.-En cas de modification de la limite territoriale entre deux communes, les dispositions du plan local d'urbanisme applicables à la partie de territoire communal détachée d'une des communes restent applicables dans ce territoire après le rattachement à l'autre commune.</w:t>
      </w:r>
      <w:r w:rsidRPr="00874A27">
        <w:rPr>
          <w:rFonts w:ascii="Arial" w:eastAsia="Times New Roman" w:hAnsi="Arial" w:cs="Arial"/>
          <w:color w:val="000000"/>
          <w:sz w:val="19"/>
          <w:szCs w:val="19"/>
          <w:lang w:eastAsia="fr-FR"/>
        </w:rPr>
        <w:br/>
        <w:t>« Toutefois, si la commune de rattachement a précisé, dans le dossier soumis à enquête publique, en application de l'</w:t>
      </w:r>
      <w:hyperlink r:id="rId576" w:history="1">
        <w:r w:rsidRPr="00874A27">
          <w:rPr>
            <w:rFonts w:ascii="Arial" w:eastAsia="Times New Roman" w:hAnsi="Arial" w:cs="Arial"/>
            <w:color w:val="336699"/>
            <w:sz w:val="19"/>
            <w:szCs w:val="19"/>
            <w:u w:val="single"/>
            <w:lang w:eastAsia="fr-FR"/>
          </w:rPr>
          <w:t>article L. 2112-2 du code général des collectivités territoriales</w:t>
        </w:r>
      </w:hyperlink>
      <w:r w:rsidRPr="00874A27">
        <w:rPr>
          <w:rFonts w:ascii="Arial" w:eastAsia="Times New Roman" w:hAnsi="Arial" w:cs="Arial"/>
          <w:color w:val="000000"/>
          <w:sz w:val="19"/>
          <w:szCs w:val="19"/>
          <w:lang w:eastAsia="fr-FR"/>
        </w:rPr>
        <w:t>, qu'elle entendait que la modification de limite territoriale emporte, par dérogation au premier alinéa du présent article, abrogation des dispositions du plan local d'urbanisme applicables à la partie rattachée, ces dispositions sont abrogées. Cette faculté n'est pas ouverte à la commune de rattachement si celle-ci est membre du même établissement public de coopération intercommunale compétent en matière de plan local d'urbanisme que la commune d'origine.</w:t>
      </w:r>
      <w:r w:rsidRPr="00874A27">
        <w:rPr>
          <w:rFonts w:ascii="Arial" w:eastAsia="Times New Roman" w:hAnsi="Arial" w:cs="Arial"/>
          <w:color w:val="000000"/>
          <w:sz w:val="19"/>
          <w:szCs w:val="19"/>
          <w:lang w:eastAsia="fr-FR"/>
        </w:rPr>
        <w:br/>
        <w:t>« En cas de modification du périmètre d'un établissement public de coopération intercommunale compétent en matière de plan local d'urbanisme ou en cas de fusion d'au moins deux établissements publics de coopération intercommunale, les dispositions du ou des plans locaux d'urbanisme applicables aux territoires concernés par cette modification ou cette fusion restent applicables. Elles peuvent être modifiées selon les procédures prévues aux articles L. 123-13-1 à L. 123-13-3, ainsi qu'aux articles L. 123-14 et L. 123-14-2 du présent code, jusqu'à l'approbation ou la révision d'un plan local d'urbanisme couvrant l'intégralité du territoire de l'établissement public de coopération intercommunale concerné. Celui-ci engage la procédure d'élaboration ou de révision de ce plan lorsqu'il le décide et au plus tard lorsqu'il doit réviser un des plans locaux d'urbanisme applicables dans son périmètre.</w:t>
      </w:r>
      <w:r w:rsidRPr="00874A27">
        <w:rPr>
          <w:rFonts w:ascii="Arial" w:eastAsia="Times New Roman" w:hAnsi="Arial" w:cs="Arial"/>
          <w:color w:val="000000"/>
          <w:sz w:val="19"/>
          <w:szCs w:val="19"/>
          <w:lang w:eastAsia="fr-FR"/>
        </w:rPr>
        <w:br/>
        <w:t>« Lorsqu'un établissement public de coopération intercommunale compétent dont le plan local d'urbanisme est en cours d'élaboration, de révision, de modification ou de mise en compatibilité avec une déclaration de projet intègre dans son périmètre une commune ou un établissement public de coopération intercommunale, il peut approuver, réviser, modifier ou mettre en compatibilité ce plan dans son périmètre initial. La procédure d'élaboration ou de révision de ce plan peut être étendue à la commune ou à l'établissement public de coopération intercommunale nouvellement intégré si le débat sur le projet d'aménagement et de développement durables de ce plan n'a pas eu lieu au moment de leur intégration.</w:t>
      </w:r>
      <w:r w:rsidRPr="00874A27">
        <w:rPr>
          <w:rFonts w:ascii="Arial" w:eastAsia="Times New Roman" w:hAnsi="Arial" w:cs="Arial"/>
          <w:color w:val="000000"/>
          <w:sz w:val="19"/>
          <w:szCs w:val="19"/>
          <w:lang w:eastAsia="fr-FR"/>
        </w:rPr>
        <w:br/>
        <w:t>« Lorsqu'au moins deux établissements publics de coopération intercommunale fusionnent, l'établissement public nouvellement compétent peut achever dans leur périmètre initial les procédures d'élaboration, de révision, de modification ou de mise en compatibilité avec une déclaration de projet de leur plan local d'urbanisme engagées avant la fusion. L'établissement public nouvellement compétent peut étendre la procédure d'élaboration ou de révision d'un de ces plans à l'ensemble de son territoire, si le débat sur le projet d'aménagement et de développement durables de ce plan n'a pas eu lieu au moment de la fusion.</w:t>
      </w:r>
      <w:r w:rsidRPr="00874A27">
        <w:rPr>
          <w:rFonts w:ascii="Arial" w:eastAsia="Times New Roman" w:hAnsi="Arial" w:cs="Arial"/>
          <w:color w:val="000000"/>
          <w:sz w:val="19"/>
          <w:szCs w:val="19"/>
          <w:lang w:eastAsia="fr-FR"/>
        </w:rPr>
        <w:br/>
        <w:t>« Dans les cas mentionnés aux quatrième ou cinquième alinéas du présent article, l'établissement public de coopération intercommunale nouvellement compétent achève la procédure d'élaboration, de révision, de modification ou de mise en compatibilité dans un délai de deux ans à compter de l'intégration ou de la fusion.</w:t>
      </w:r>
      <w:r w:rsidRPr="00874A27">
        <w:rPr>
          <w:rFonts w:ascii="Arial" w:eastAsia="Times New Roman" w:hAnsi="Arial" w:cs="Arial"/>
          <w:color w:val="000000"/>
          <w:sz w:val="19"/>
          <w:szCs w:val="19"/>
          <w:lang w:eastAsia="fr-FR"/>
        </w:rPr>
        <w:br/>
        <w:t>« Lorsque le périmètre d'un plan local d'urbanisme en cours d'élaboration ou de révision est intégré dans sa totalité dans le périmètre d'un établissement public de coopération intercommunale compétent en matière de plan local d'urbanisme, ce plan ne peut être approuvé ou révisé que par l'établissement public nouvellement compétent, et ce dans son périmètre initial, si le débat sur le projet d'aménagement et de développement durables a été tenu avant cette intégration et si l'approbation ou la révision a lieu dans le délai de deux ans suivant l'intégration.</w:t>
      </w:r>
      <w:r w:rsidRPr="00874A27">
        <w:rPr>
          <w:rFonts w:ascii="Arial" w:eastAsia="Times New Roman" w:hAnsi="Arial" w:cs="Arial"/>
          <w:color w:val="000000"/>
          <w:sz w:val="19"/>
          <w:szCs w:val="19"/>
          <w:lang w:eastAsia="fr-FR"/>
        </w:rPr>
        <w:br/>
        <w:t>« Lorsque le périmètre d'un plan local d'urbanisme en cours de modification ou de mise en compatibilité en application des articles L. 123-14 et L. 123-14-2 est intégré dans sa totalité dans le périmètre d'un établissement public de coopération intercommunale compétent en matière de plan local d'urbanisme, la modification ou la mise en compatibilité du plan local d'urbanisme ne peut être adoptée que par l'établissement public nouvellement compétent, dans son périmètre initial, et ce dans un délai de deux ans à compter de son intégration.</w:t>
      </w:r>
      <w:r w:rsidRPr="00874A27">
        <w:rPr>
          <w:rFonts w:ascii="Arial" w:eastAsia="Times New Roman" w:hAnsi="Arial" w:cs="Arial"/>
          <w:color w:val="000000"/>
          <w:sz w:val="19"/>
          <w:szCs w:val="19"/>
          <w:lang w:eastAsia="fr-FR"/>
        </w:rPr>
        <w:br/>
        <w:t>« Dans les cas prévus aux cinquième, septième et huitième alinéas du présent article, l'établissement public nouvellement compétent est substitué de plein droit, à la date de l'intégration ou de la fusion, dans tous les actes et délibérations afférents à la procédure engagée avant l'intégration ou la fusion.</w:t>
      </w:r>
      <w:r w:rsidRPr="00874A27">
        <w:rPr>
          <w:rFonts w:ascii="Arial" w:eastAsia="Times New Roman" w:hAnsi="Arial" w:cs="Arial"/>
          <w:color w:val="000000"/>
          <w:sz w:val="19"/>
          <w:szCs w:val="19"/>
          <w:lang w:eastAsia="fr-FR"/>
        </w:rPr>
        <w:br/>
        <w:t>« Si un plan approuvé, révisé, modifié ou mis en compatibilité dans les conditions prévues aux septième et huitième alinéas ne couvre le territoire que d'une commune, il ne comprend ni de dispositions tenant lieu de programme local de l'habitat, ni de plan de déplacements urbains. » ;</w:t>
      </w:r>
      <w:r w:rsidRPr="00874A27">
        <w:rPr>
          <w:rFonts w:ascii="Arial" w:eastAsia="Times New Roman" w:hAnsi="Arial" w:cs="Arial"/>
          <w:color w:val="000000"/>
          <w:sz w:val="19"/>
          <w:szCs w:val="19"/>
          <w:lang w:eastAsia="fr-FR"/>
        </w:rPr>
        <w:br/>
        <w:t>4° L'article L. 123-1-1-1 est complété par un alinéa ainsi rédigé :</w:t>
      </w:r>
      <w:r w:rsidRPr="00874A27">
        <w:rPr>
          <w:rFonts w:ascii="Arial" w:eastAsia="Times New Roman" w:hAnsi="Arial" w:cs="Arial"/>
          <w:color w:val="000000"/>
          <w:sz w:val="19"/>
          <w:szCs w:val="19"/>
          <w:lang w:eastAsia="fr-FR"/>
        </w:rPr>
        <w:br/>
        <w:t>« Une ou plusieurs communes membres d'une communauté de communes ou d'une communauté d'agglomération peuvent demander à être couvertes par un plan de secteur. Après un débat au sein de l'organe délibérant de l'établissement public de coopération intercommunale, celui-ci délibère sur l'opportunité d'élaborer ce plan. » ;</w:t>
      </w:r>
      <w:r w:rsidRPr="00874A27">
        <w:rPr>
          <w:rFonts w:ascii="Arial" w:eastAsia="Times New Roman" w:hAnsi="Arial" w:cs="Arial"/>
          <w:color w:val="000000"/>
          <w:sz w:val="19"/>
          <w:szCs w:val="19"/>
          <w:lang w:eastAsia="fr-FR"/>
        </w:rPr>
        <w:br/>
        <w:t>5° L'article L. 123-1-4 est ainsi modifié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a) Le premier alinéa du 1 est ainsi modifié :</w:t>
      </w:r>
      <w:r w:rsidRPr="00874A27">
        <w:rPr>
          <w:rFonts w:ascii="Arial" w:eastAsia="Times New Roman" w:hAnsi="Arial" w:cs="Arial"/>
          <w:color w:val="000000"/>
          <w:sz w:val="19"/>
          <w:szCs w:val="19"/>
          <w:lang w:eastAsia="fr-FR"/>
        </w:rPr>
        <w:br/>
        <w:t>― après le mot : « environnement, », sont insérés les mots : « notamment les continuités écologiques, » ;</w:t>
      </w:r>
      <w:r w:rsidRPr="00874A27">
        <w:rPr>
          <w:rFonts w:ascii="Arial" w:eastAsia="Times New Roman" w:hAnsi="Arial" w:cs="Arial"/>
          <w:color w:val="000000"/>
          <w:sz w:val="19"/>
          <w:szCs w:val="19"/>
          <w:lang w:eastAsia="fr-FR"/>
        </w:rPr>
        <w:br/>
        <w:t>― est ajoutée une phrase ainsi rédigée :</w:t>
      </w:r>
      <w:r w:rsidRPr="00874A27">
        <w:rPr>
          <w:rFonts w:ascii="Arial" w:eastAsia="Times New Roman" w:hAnsi="Arial" w:cs="Arial"/>
          <w:color w:val="000000"/>
          <w:sz w:val="19"/>
          <w:szCs w:val="19"/>
          <w:lang w:eastAsia="fr-FR"/>
        </w:rPr>
        <w:br/>
        <w:t>« Elles peuvent favoriser la mixité fonctionnelle en prévoyant qu'en cas de réalisation d'opérations d'aménagement, de construction ou de réhabilitation, un pourcentage de ces opérations est destiné à la réalisation de commerces. » ;</w:t>
      </w:r>
      <w:r w:rsidRPr="00874A27">
        <w:rPr>
          <w:rFonts w:ascii="Arial" w:eastAsia="Times New Roman" w:hAnsi="Arial" w:cs="Arial"/>
          <w:color w:val="000000"/>
          <w:sz w:val="19"/>
          <w:szCs w:val="19"/>
          <w:lang w:eastAsia="fr-FR"/>
        </w:rPr>
        <w:br/>
        <w:t>b) Les 2 et 3 sont ainsi rédigés :</w:t>
      </w:r>
      <w:r w:rsidRPr="00874A27">
        <w:rPr>
          <w:rFonts w:ascii="Arial" w:eastAsia="Times New Roman" w:hAnsi="Arial" w:cs="Arial"/>
          <w:color w:val="000000"/>
          <w:sz w:val="19"/>
          <w:szCs w:val="19"/>
          <w:lang w:eastAsia="fr-FR"/>
        </w:rPr>
        <w:br/>
        <w:t>« 2. En ce qui concerne l'habitat, dans le cas des plans locaux d'urbanisme tenant lieu de programme local de l'habitat, ces orientations précisent les actions et opérations d'aménagement visant à poursuivre les objectifs énoncés à l'</w:t>
      </w:r>
      <w:hyperlink r:id="rId577" w:history="1">
        <w:r w:rsidRPr="00874A27">
          <w:rPr>
            <w:rFonts w:ascii="Arial" w:eastAsia="Times New Roman" w:hAnsi="Arial" w:cs="Arial"/>
            <w:color w:val="336699"/>
            <w:sz w:val="19"/>
            <w:szCs w:val="19"/>
            <w:u w:val="single"/>
            <w:lang w:eastAsia="fr-FR"/>
          </w:rPr>
          <w:t>article L. 302-1 du code de la construction et de l'habitation</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3. En ce qui concerne les transports et les déplacements, dans le cas des plans tenant lieu de plan de déplacements urbains, elles précisent les actions et opérations d'aménagement visant à poursuivre les principes et les objectifs énoncés aux articles L. 1214-1 et L. 1214-2 du code des transports.</w:t>
      </w:r>
      <w:r w:rsidRPr="00874A27">
        <w:rPr>
          <w:rFonts w:ascii="Arial" w:eastAsia="Times New Roman" w:hAnsi="Arial" w:cs="Arial"/>
          <w:color w:val="000000"/>
          <w:sz w:val="19"/>
          <w:szCs w:val="19"/>
          <w:lang w:eastAsia="fr-FR"/>
        </w:rPr>
        <w:br/>
        <w:t>« En l'absence de schéma de cohérence territoriale, les orientations d'aménagement et de programmation d'un plan local d'urbanisme élaboré par un établissement public de coopération intercommunale comprennent les dispositions mentionnées à l'article L. 122-1-9 du présent code. » ;</w:t>
      </w:r>
      <w:r w:rsidRPr="00874A27">
        <w:rPr>
          <w:rFonts w:ascii="Arial" w:eastAsia="Times New Roman" w:hAnsi="Arial" w:cs="Arial"/>
          <w:color w:val="000000"/>
          <w:sz w:val="19"/>
          <w:szCs w:val="19"/>
          <w:lang w:eastAsia="fr-FR"/>
        </w:rPr>
        <w:br/>
        <w:t>6° L'article L. 123-1-9 est ainsi modifié :</w:t>
      </w:r>
      <w:r w:rsidRPr="00874A27">
        <w:rPr>
          <w:rFonts w:ascii="Arial" w:eastAsia="Times New Roman" w:hAnsi="Arial" w:cs="Arial"/>
          <w:color w:val="000000"/>
          <w:sz w:val="19"/>
          <w:szCs w:val="19"/>
          <w:lang w:eastAsia="fr-FR"/>
        </w:rPr>
        <w:br/>
        <w:t>a) Le deuxième alinéa est ainsi modifié :</w:t>
      </w:r>
      <w:r w:rsidRPr="00874A27">
        <w:rPr>
          <w:rFonts w:ascii="Arial" w:eastAsia="Times New Roman" w:hAnsi="Arial" w:cs="Arial"/>
          <w:color w:val="000000"/>
          <w:sz w:val="19"/>
          <w:szCs w:val="19"/>
          <w:lang w:eastAsia="fr-FR"/>
        </w:rPr>
        <w:br/>
        <w:t>― à la première phrase, les mots : « du schéma de cohérence territoriale, du schéma de secteur, » et les mots : « et de la charte du parc naturel régional ou du parc national » sont supprimés ;</w:t>
      </w:r>
      <w:r w:rsidRPr="00874A27">
        <w:rPr>
          <w:rFonts w:ascii="Arial" w:eastAsia="Times New Roman" w:hAnsi="Arial" w:cs="Arial"/>
          <w:color w:val="000000"/>
          <w:sz w:val="19"/>
          <w:szCs w:val="19"/>
          <w:lang w:eastAsia="fr-FR"/>
        </w:rPr>
        <w:br/>
        <w:t>― la dernière phrase est supprimée ;</w:t>
      </w:r>
      <w:r w:rsidRPr="00874A27">
        <w:rPr>
          <w:rFonts w:ascii="Arial" w:eastAsia="Times New Roman" w:hAnsi="Arial" w:cs="Arial"/>
          <w:color w:val="000000"/>
          <w:sz w:val="19"/>
          <w:szCs w:val="19"/>
          <w:lang w:eastAsia="fr-FR"/>
        </w:rPr>
        <w:br/>
        <w:t>b) Après le deuxième alinéa, il est inséré un alinéa ainsi rédigé :</w:t>
      </w:r>
      <w:r w:rsidRPr="00874A27">
        <w:rPr>
          <w:rFonts w:ascii="Arial" w:eastAsia="Times New Roman" w:hAnsi="Arial" w:cs="Arial"/>
          <w:color w:val="000000"/>
          <w:sz w:val="19"/>
          <w:szCs w:val="19"/>
          <w:lang w:eastAsia="fr-FR"/>
        </w:rPr>
        <w:br/>
        <w:t>« Les dispositions relatives aux transports et aux déplacements des orientations d'aménagement et de programmation et du programme d'orientations et d'actions du plan local d'urbanisme tenant lieu de plan de déplacements urbains sont compatibles avec les dispositions du plan régional pour la qualité de l'air et du schéma régional du climat, de l'air et de l'énergie. » ;</w:t>
      </w:r>
      <w:r w:rsidRPr="00874A27">
        <w:rPr>
          <w:rFonts w:ascii="Arial" w:eastAsia="Times New Roman" w:hAnsi="Arial" w:cs="Arial"/>
          <w:color w:val="000000"/>
          <w:sz w:val="19"/>
          <w:szCs w:val="19"/>
          <w:lang w:eastAsia="fr-FR"/>
        </w:rPr>
        <w:br/>
        <w:t>c) A la première phrase du troisième alinéa, les mots : « de ces documents » sont remplacés par les mots : « des documents mentionnés aux deuxième et troisième alinéas » ;</w:t>
      </w:r>
      <w:r w:rsidRPr="00874A27">
        <w:rPr>
          <w:rFonts w:ascii="Arial" w:eastAsia="Times New Roman" w:hAnsi="Arial" w:cs="Arial"/>
          <w:color w:val="000000"/>
          <w:sz w:val="19"/>
          <w:szCs w:val="19"/>
          <w:lang w:eastAsia="fr-FR"/>
        </w:rPr>
        <w:br/>
        <w:t>d) Le dernier alinéa est supprimé ;</w:t>
      </w:r>
      <w:r w:rsidRPr="00874A27">
        <w:rPr>
          <w:rFonts w:ascii="Arial" w:eastAsia="Times New Roman" w:hAnsi="Arial" w:cs="Arial"/>
          <w:color w:val="000000"/>
          <w:sz w:val="19"/>
          <w:szCs w:val="19"/>
          <w:lang w:eastAsia="fr-FR"/>
        </w:rPr>
        <w:br/>
        <w:t>7° L'article L. 123-1-10 est ainsi modifié :</w:t>
      </w:r>
      <w:r w:rsidRPr="00874A27">
        <w:rPr>
          <w:rFonts w:ascii="Arial" w:eastAsia="Times New Roman" w:hAnsi="Arial" w:cs="Arial"/>
          <w:color w:val="000000"/>
          <w:sz w:val="19"/>
          <w:szCs w:val="19"/>
          <w:lang w:eastAsia="fr-FR"/>
        </w:rPr>
        <w:br/>
        <w:t>a) Au début du premier alinéa, sont ajoutés les mots : « En l'absence de schéma de cohérence territoriale, » ;</w:t>
      </w:r>
      <w:r w:rsidRPr="00874A27">
        <w:rPr>
          <w:rFonts w:ascii="Arial" w:eastAsia="Times New Roman" w:hAnsi="Arial" w:cs="Arial"/>
          <w:color w:val="000000"/>
          <w:sz w:val="19"/>
          <w:szCs w:val="19"/>
          <w:lang w:eastAsia="fr-FR"/>
        </w:rPr>
        <w:br/>
        <w:t>b) Au dernier alinéa, la référence : « L. 123-1-9 » est remplacée par la référence : « L. 111-1-1 » ;</w:t>
      </w:r>
      <w:r w:rsidRPr="00874A27">
        <w:rPr>
          <w:rFonts w:ascii="Arial" w:eastAsia="Times New Roman" w:hAnsi="Arial" w:cs="Arial"/>
          <w:color w:val="000000"/>
          <w:sz w:val="19"/>
          <w:szCs w:val="19"/>
          <w:lang w:eastAsia="fr-FR"/>
        </w:rPr>
        <w:br/>
        <w:t>8° L'article L. 123-1-12 est ainsi rédigé :</w:t>
      </w:r>
      <w:r w:rsidRPr="00874A27">
        <w:rPr>
          <w:rFonts w:ascii="Arial" w:eastAsia="Times New Roman" w:hAnsi="Arial" w:cs="Arial"/>
          <w:color w:val="000000"/>
          <w:sz w:val="19"/>
          <w:szCs w:val="19"/>
          <w:lang w:eastAsia="fr-FR"/>
        </w:rPr>
        <w:br/>
        <w:t>« Art. L. 123-1-12.-Le règlement fixe les obligations minimales en matière de stationnement pour les vélos pour les immeubles d'habitation et de bureaux, dans le respect des conditions prévues au </w:t>
      </w:r>
      <w:hyperlink r:id="rId578" w:history="1">
        <w:r w:rsidRPr="00874A27">
          <w:rPr>
            <w:rFonts w:ascii="Arial" w:eastAsia="Times New Roman" w:hAnsi="Arial" w:cs="Arial"/>
            <w:color w:val="336699"/>
            <w:sz w:val="19"/>
            <w:szCs w:val="19"/>
            <w:u w:val="single"/>
            <w:lang w:eastAsia="fr-FR"/>
          </w:rPr>
          <w:t>II de l'article L. 111-5-2 du code de la construction et de l'habitation</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Lorsque les conditions de desserte par les transports publics réguliers le permettent, le règlement peut fixer un nombre maximal d'aires de stationnement pour les véhicules motorisés à réaliser lors de la construction de bâtiments destinés à un usage autre que d'habitation.</w:t>
      </w:r>
      <w:r w:rsidRPr="00874A27">
        <w:rPr>
          <w:rFonts w:ascii="Arial" w:eastAsia="Times New Roman" w:hAnsi="Arial" w:cs="Arial"/>
          <w:color w:val="000000"/>
          <w:sz w:val="19"/>
          <w:szCs w:val="19"/>
          <w:lang w:eastAsia="fr-FR"/>
        </w:rPr>
        <w:br/>
        <w:t>« Lorsque le plan local d'urbanisme impose la réalisation d'aires de stationnement pour les véhicules motorisés, celles-ci peuvent être réalisées sur le terrain d'assiette ou dans son environnement immédiat.</w:t>
      </w:r>
      <w:r w:rsidRPr="00874A27">
        <w:rPr>
          <w:rFonts w:ascii="Arial" w:eastAsia="Times New Roman" w:hAnsi="Arial" w:cs="Arial"/>
          <w:color w:val="000000"/>
          <w:sz w:val="19"/>
          <w:szCs w:val="19"/>
          <w:lang w:eastAsia="fr-FR"/>
        </w:rPr>
        <w:br/>
        <w:t>« Lorsque le plan local d'urbanisme tient lieu de plan de déplacements urbains, le règlement fixe les obligations minimales en matière de stationnement pour les véhicules non motorisés, en tenant compte notamment de la desserte en transports publics réguliers et, le cas échéant, de la destination des bâtiments, dans le respect des conditions prévues au même II. Il détermine des secteurs à l'intérieur desquels les conditions de desserte et de transports publics réguliers permettent de réduire ou de supprimer les obligations minimales en matière de réalisation d'aires de stationnement pour les véhicules motorisés, notamment pour la construction d'immeubles de bureaux. A l'intérieur de ces secteurs, il fixe un nombre maximal d'aires de stationnement pour les véhicules motorisés, lors de la construction de bâtiments destinés à un usage autre que l'habitation.</w:t>
      </w:r>
      <w:r w:rsidRPr="00874A27">
        <w:rPr>
          <w:rFonts w:ascii="Arial" w:eastAsia="Times New Roman" w:hAnsi="Arial" w:cs="Arial"/>
          <w:color w:val="000000"/>
          <w:sz w:val="19"/>
          <w:szCs w:val="19"/>
          <w:lang w:eastAsia="fr-FR"/>
        </w:rPr>
        <w:br/>
        <w:t>« Lorsque le bénéficiaire du permis ou de la décision de non-opposition à une déclaration préalable ne peut pas satisfaire aux obligations résultant du troisième alinéa du présent article, il peut être tenu quitte de ces obligations en justifiant, pour les places qu'il ne peut réaliser lui-même, soit de l'obtention d'une concession à long terme dans un parc public de stationnement existant ou en cours de réalisation et situé à proximité de l'opération, soit de l'acquisition ou de la concession de places dans un parc privé de stationnement répondant aux mêmes conditions.</w:t>
      </w:r>
      <w:r w:rsidRPr="00874A27">
        <w:rPr>
          <w:rFonts w:ascii="Arial" w:eastAsia="Times New Roman" w:hAnsi="Arial" w:cs="Arial"/>
          <w:color w:val="000000"/>
          <w:sz w:val="19"/>
          <w:szCs w:val="19"/>
          <w:lang w:eastAsia="fr-FR"/>
        </w:rPr>
        <w:br/>
        <w:t xml:space="preserve">« En l'absence d'un tel parc, le bénéficiaire du permis ou de la décision de non-opposition à une déclaration préalable peut être tenu de verser à la commune une participation en vue de la réalisation de parcs publics de stationnement, dans les conditions définies à l'article L. 332-7-1 du </w:t>
      </w:r>
      <w:r w:rsidRPr="00874A27">
        <w:rPr>
          <w:rFonts w:ascii="Arial" w:eastAsia="Times New Roman" w:hAnsi="Arial" w:cs="Arial"/>
          <w:color w:val="000000"/>
          <w:sz w:val="19"/>
          <w:szCs w:val="19"/>
          <w:lang w:eastAsia="fr-FR"/>
        </w:rPr>
        <w:lastRenderedPageBreak/>
        <w:t>présent code.</w:t>
      </w:r>
      <w:r w:rsidRPr="00874A27">
        <w:rPr>
          <w:rFonts w:ascii="Arial" w:eastAsia="Times New Roman" w:hAnsi="Arial" w:cs="Arial"/>
          <w:color w:val="000000"/>
          <w:sz w:val="19"/>
          <w:szCs w:val="19"/>
          <w:lang w:eastAsia="fr-FR"/>
        </w:rPr>
        <w:br/>
        <w:t>« Lorsqu'une aire de stationnement a été prise en compte dans le cadre d'une concession à long terme ou d'un parc privé de stationnement, au titre des obligations prévues aux deux premiers alinéas du présent article, elle ne peut plus être prise en compte, en tout ou en partie, à l'occasion d'une nouvelle autorisation. » ;</w:t>
      </w:r>
      <w:r w:rsidRPr="00874A27">
        <w:rPr>
          <w:rFonts w:ascii="Arial" w:eastAsia="Times New Roman" w:hAnsi="Arial" w:cs="Arial"/>
          <w:color w:val="000000"/>
          <w:sz w:val="19"/>
          <w:szCs w:val="19"/>
          <w:lang w:eastAsia="fr-FR"/>
        </w:rPr>
        <w:br/>
        <w:t>9° Après le deuxième alinéa de l'article L. 123-5, il est inséré un alinéa ainsi rédigé :</w:t>
      </w:r>
      <w:r w:rsidRPr="00874A27">
        <w:rPr>
          <w:rFonts w:ascii="Arial" w:eastAsia="Times New Roman" w:hAnsi="Arial" w:cs="Arial"/>
          <w:color w:val="000000"/>
          <w:sz w:val="19"/>
          <w:szCs w:val="19"/>
          <w:lang w:eastAsia="fr-FR"/>
        </w:rPr>
        <w:br/>
        <w:t>« Les actes pris au titre de la police du stationnement et de la circulation, ainsi que les actes et décisions relatifs à la voirie et à la gestion du domaine public routier sont compatibles ou rendus compatibles avec les dispositions du plan local d'urbanisme tenant lieu de plan de déplacements urbains, dans les conditions définies aux articles L. 1214-5 et L. 1214-6 du code des transports. » ;</w:t>
      </w:r>
      <w:r w:rsidRPr="00874A27">
        <w:rPr>
          <w:rFonts w:ascii="Arial" w:eastAsia="Times New Roman" w:hAnsi="Arial" w:cs="Arial"/>
          <w:color w:val="000000"/>
          <w:sz w:val="19"/>
          <w:szCs w:val="19"/>
          <w:lang w:eastAsia="fr-FR"/>
        </w:rPr>
        <w:br/>
        <w:t>10° L'article L. 123-6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A la première phrase, le mot : « concertation » est remplacé par le mot : « collaboration » ;</w:t>
      </w:r>
      <w:r w:rsidRPr="00874A27">
        <w:rPr>
          <w:rFonts w:ascii="Arial" w:eastAsia="Times New Roman" w:hAnsi="Arial" w:cs="Arial"/>
          <w:color w:val="000000"/>
          <w:sz w:val="19"/>
          <w:szCs w:val="19"/>
          <w:lang w:eastAsia="fr-FR"/>
        </w:rPr>
        <w:br/>
        <w:t>Après la première phrase, est insérée une phrase ainsi rédigée :</w:t>
      </w:r>
      <w:r w:rsidRPr="00874A27">
        <w:rPr>
          <w:rFonts w:ascii="Arial" w:eastAsia="Times New Roman" w:hAnsi="Arial" w:cs="Arial"/>
          <w:color w:val="000000"/>
          <w:sz w:val="19"/>
          <w:szCs w:val="19"/>
          <w:lang w:eastAsia="fr-FR"/>
        </w:rPr>
        <w:br/>
        <w:t>« L'organe délibérant de l'établissement public de coopération intercommunale arrête les modalités de cette collaboration après avoir réuni une conférence intercommunale rassemblant, à l'initiative de son président, l'ensemble des maires des communes membres. » ;</w:t>
      </w:r>
      <w:r w:rsidRPr="00874A27">
        <w:rPr>
          <w:rFonts w:ascii="Arial" w:eastAsia="Times New Roman" w:hAnsi="Arial" w:cs="Arial"/>
          <w:color w:val="000000"/>
          <w:sz w:val="19"/>
          <w:szCs w:val="19"/>
          <w:lang w:eastAsia="fr-FR"/>
        </w:rPr>
        <w:br/>
        <w:t>A la seconde phrase, le mot : « zones » est remplacé par le mot : « espaces » ;</w:t>
      </w:r>
      <w:r w:rsidRPr="00874A27">
        <w:rPr>
          <w:rFonts w:ascii="Arial" w:eastAsia="Times New Roman" w:hAnsi="Arial" w:cs="Arial"/>
          <w:color w:val="000000"/>
          <w:sz w:val="19"/>
          <w:szCs w:val="19"/>
          <w:lang w:eastAsia="fr-FR"/>
        </w:rPr>
        <w:br/>
        <w:t>b) Au deuxième alinéa, le mot : « concertation » est remplacé par le mot : « collaboration » ;</w:t>
      </w:r>
      <w:r w:rsidRPr="00874A27">
        <w:rPr>
          <w:rFonts w:ascii="Arial" w:eastAsia="Times New Roman" w:hAnsi="Arial" w:cs="Arial"/>
          <w:color w:val="000000"/>
          <w:sz w:val="19"/>
          <w:szCs w:val="19"/>
          <w:lang w:eastAsia="fr-FR"/>
        </w:rPr>
        <w:br/>
        <w:t>c) Au troisième alinéa, après les mots : « dont la commune est membre », sont insérés les mots : «, au syndicat d'agglomération nouvelle » ;</w:t>
      </w:r>
      <w:r w:rsidRPr="00874A27">
        <w:rPr>
          <w:rFonts w:ascii="Arial" w:eastAsia="Times New Roman" w:hAnsi="Arial" w:cs="Arial"/>
          <w:color w:val="000000"/>
          <w:sz w:val="19"/>
          <w:szCs w:val="19"/>
          <w:lang w:eastAsia="fr-FR"/>
        </w:rPr>
        <w:br/>
        <w:t>11° Après le deuxième alinéa de l'article L. 123-8, il est inséré un alinéa ainsi rédigé :</w:t>
      </w:r>
      <w:r w:rsidRPr="00874A27">
        <w:rPr>
          <w:rFonts w:ascii="Arial" w:eastAsia="Times New Roman" w:hAnsi="Arial" w:cs="Arial"/>
          <w:color w:val="000000"/>
          <w:sz w:val="19"/>
          <w:szCs w:val="19"/>
          <w:lang w:eastAsia="fr-FR"/>
        </w:rPr>
        <w:br/>
        <w:t>« Lorsque le plan local d'urbanisme tient lieu de plan de déplacements urbains, les représentants des professions et des usagers des voies et modes de transport, les représentants d'associations de protection de l'environnement agréées au titre de l'</w:t>
      </w:r>
      <w:hyperlink r:id="rId579" w:history="1">
        <w:r w:rsidRPr="00874A27">
          <w:rPr>
            <w:rFonts w:ascii="Arial" w:eastAsia="Times New Roman" w:hAnsi="Arial" w:cs="Arial"/>
            <w:color w:val="336699"/>
            <w:sz w:val="19"/>
            <w:szCs w:val="19"/>
            <w:u w:val="single"/>
            <w:lang w:eastAsia="fr-FR"/>
          </w:rPr>
          <w:t>article L. 141-1 du code de l'environnement </w:t>
        </w:r>
      </w:hyperlink>
      <w:r w:rsidRPr="00874A27">
        <w:rPr>
          <w:rFonts w:ascii="Arial" w:eastAsia="Times New Roman" w:hAnsi="Arial" w:cs="Arial"/>
          <w:color w:val="000000"/>
          <w:sz w:val="19"/>
          <w:szCs w:val="19"/>
          <w:lang w:eastAsia="fr-FR"/>
        </w:rPr>
        <w:t>ainsi que des associations de personnes handicapées ou dont la mobilité est réduite sont consultés, à leur demande, sur le projet. » ;</w:t>
      </w:r>
      <w:r w:rsidRPr="00874A27">
        <w:rPr>
          <w:rFonts w:ascii="Arial" w:eastAsia="Times New Roman" w:hAnsi="Arial" w:cs="Arial"/>
          <w:color w:val="000000"/>
          <w:sz w:val="19"/>
          <w:szCs w:val="19"/>
          <w:lang w:eastAsia="fr-FR"/>
        </w:rPr>
        <w:br/>
        <w:t>12° L'article L. 123-9 est ainsi modifié :</w:t>
      </w:r>
      <w:r w:rsidRPr="00874A27">
        <w:rPr>
          <w:rFonts w:ascii="Arial" w:eastAsia="Times New Roman" w:hAnsi="Arial" w:cs="Arial"/>
          <w:color w:val="000000"/>
          <w:sz w:val="19"/>
          <w:szCs w:val="19"/>
          <w:lang w:eastAsia="fr-FR"/>
        </w:rPr>
        <w:br/>
        <w:t>a) A la troisième phrase du deuxième alinéa, le mot : « intercommunal » est remplacé par les mots : « tenant lieu de programme local de l'habitat » et les mots : « comité régional de l'habitat » sont remplacés par les mots : « comité régional de l'habitat et de l'hébergement » ;</w:t>
      </w:r>
      <w:r w:rsidRPr="00874A27">
        <w:rPr>
          <w:rFonts w:ascii="Arial" w:eastAsia="Times New Roman" w:hAnsi="Arial" w:cs="Arial"/>
          <w:color w:val="000000"/>
          <w:sz w:val="19"/>
          <w:szCs w:val="19"/>
          <w:lang w:eastAsia="fr-FR"/>
        </w:rPr>
        <w:br/>
        <w:t>b) A la fin du dernier alinéa, les mots : « de ses membres » sont remplacés par les mots : « des suffrages exprimés » ;</w:t>
      </w:r>
      <w:r w:rsidRPr="00874A27">
        <w:rPr>
          <w:rFonts w:ascii="Arial" w:eastAsia="Times New Roman" w:hAnsi="Arial" w:cs="Arial"/>
          <w:color w:val="000000"/>
          <w:sz w:val="19"/>
          <w:szCs w:val="19"/>
          <w:lang w:eastAsia="fr-FR"/>
        </w:rPr>
        <w:br/>
        <w:t>13° L'article L. 123-10 est ainsi modifié :</w:t>
      </w:r>
      <w:r w:rsidRPr="00874A27">
        <w:rPr>
          <w:rFonts w:ascii="Arial" w:eastAsia="Times New Roman" w:hAnsi="Arial" w:cs="Arial"/>
          <w:color w:val="000000"/>
          <w:sz w:val="19"/>
          <w:szCs w:val="19"/>
          <w:lang w:eastAsia="fr-FR"/>
        </w:rPr>
        <w:br/>
        <w:t>a) Après le mot : « environnement, », la fin du deuxième alinéa est ainsi rédigée : « les avis qui ont été joints au dossier, les observations du public et le rapport du commissaire ou de la commission d'enquête sont présentés lors d'une conférence intercommunale rassemblant les maires des communes membres de l'établissement public de coopération intercommunale. Ensuite, l'organe délibérant de l'établissement public de coopération intercommunale approuve le projet de plan local d'urbanisme à la majorité des suffrages exprimés, en tenant compte des avis qui ont été joints au dossier, des observations du public et du rapport du commissaire ou de la commission d'enquête. » ;</w:t>
      </w:r>
      <w:r w:rsidRPr="00874A27">
        <w:rPr>
          <w:rFonts w:ascii="Arial" w:eastAsia="Times New Roman" w:hAnsi="Arial" w:cs="Arial"/>
          <w:color w:val="000000"/>
          <w:sz w:val="19"/>
          <w:szCs w:val="19"/>
          <w:lang w:eastAsia="fr-FR"/>
        </w:rPr>
        <w:br/>
        <w:t>b) Après le deuxième alinéa, sont insérés deux alinéas ainsi rédigés :</w:t>
      </w:r>
      <w:r w:rsidRPr="00874A27">
        <w:rPr>
          <w:rFonts w:ascii="Arial" w:eastAsia="Times New Roman" w:hAnsi="Arial" w:cs="Arial"/>
          <w:color w:val="000000"/>
          <w:sz w:val="19"/>
          <w:szCs w:val="19"/>
          <w:lang w:eastAsia="fr-FR"/>
        </w:rPr>
        <w:br/>
        <w:t>« Lorsque le plan local d'urbanisme est approuvé par une métropole, ou par la métropole de Lyon, le conseil de la métropole l'approuve à la majorité simple des votes exprimés.</w:t>
      </w:r>
      <w:r w:rsidRPr="00874A27">
        <w:rPr>
          <w:rFonts w:ascii="Arial" w:eastAsia="Times New Roman" w:hAnsi="Arial" w:cs="Arial"/>
          <w:color w:val="000000"/>
          <w:sz w:val="19"/>
          <w:szCs w:val="19"/>
          <w:lang w:eastAsia="fr-FR"/>
        </w:rPr>
        <w:br/>
        <w:t>« Après l'enquête publique réalisée conformément au chapitre III du titre II du livre Ier du code de l'environnement, le plan local d'urbanisme, éventuellement modifié pour tenir compte des avis qui ont été joints au dossier, des observations du public et du rapport du commissaire ou de la commission d'enquête, est approuvé par délibération du conseil municipal. » ;</w:t>
      </w:r>
      <w:r w:rsidRPr="00874A27">
        <w:rPr>
          <w:rFonts w:ascii="Arial" w:eastAsia="Times New Roman" w:hAnsi="Arial" w:cs="Arial"/>
          <w:color w:val="000000"/>
          <w:sz w:val="19"/>
          <w:szCs w:val="19"/>
          <w:lang w:eastAsia="fr-FR"/>
        </w:rPr>
        <w:br/>
        <w:t>14° L'article L. 123-12 est ainsi modifié :</w:t>
      </w:r>
      <w:r w:rsidRPr="00874A27">
        <w:rPr>
          <w:rFonts w:ascii="Arial" w:eastAsia="Times New Roman" w:hAnsi="Arial" w:cs="Arial"/>
          <w:color w:val="000000"/>
          <w:sz w:val="19"/>
          <w:szCs w:val="19"/>
          <w:lang w:eastAsia="fr-FR"/>
        </w:rPr>
        <w:br/>
        <w:t>a) A la première phrase du deuxième alinéa, après le mot : « approuvé, », sont insérés les mots : « ou lorsqu'il comporte des dispositions tenant lieu de programme local de l'habitat, » ;</w:t>
      </w:r>
      <w:r w:rsidRPr="00874A27">
        <w:rPr>
          <w:rFonts w:ascii="Arial" w:eastAsia="Times New Roman" w:hAnsi="Arial" w:cs="Arial"/>
          <w:color w:val="000000"/>
          <w:sz w:val="19"/>
          <w:szCs w:val="19"/>
          <w:lang w:eastAsia="fr-FR"/>
        </w:rPr>
        <w:br/>
        <w:t>b) Le 3° est complété par les mots : «, ou ont fait l'objet d'un avis défavorable ou de réserves émises par le comité régional de l'habitat et de l'hébergement » ;</w:t>
      </w:r>
      <w:r w:rsidRPr="00874A27">
        <w:rPr>
          <w:rFonts w:ascii="Arial" w:eastAsia="Times New Roman" w:hAnsi="Arial" w:cs="Arial"/>
          <w:color w:val="000000"/>
          <w:sz w:val="19"/>
          <w:szCs w:val="19"/>
          <w:lang w:eastAsia="fr-FR"/>
        </w:rPr>
        <w:br/>
        <w:t>15° L'article L. 123-12-1 est ainsi rédigé :</w:t>
      </w:r>
      <w:r w:rsidRPr="00874A27">
        <w:rPr>
          <w:rFonts w:ascii="Arial" w:eastAsia="Times New Roman" w:hAnsi="Arial" w:cs="Arial"/>
          <w:color w:val="000000"/>
          <w:sz w:val="19"/>
          <w:szCs w:val="19"/>
          <w:lang w:eastAsia="fr-FR"/>
        </w:rPr>
        <w:br/>
        <w:t>« Art. L. 123-12-1.-L'organe délibérant de l'établissement public de coopération intercommunale ou, dans le cas prévu au deuxième alinéa de l'article L. 123-6, le conseil municipal procède, neuf ans au plus tard après la délibération portant approbation ou révision du plan local d'urbanisme, à une analyse des résultats de l'application de ce plan au regard des objectifs prévus à l'article L. 121-1 du présent code et, le cas échéant, aux articles L. 1214-1 et L. 1214-2 du code des transports. Lorsque le plan local d'urbanisme tient lieu de programme local de l'habitat, la durée de neuf ans précédemment mentionnée est ramenée à six ans et l'évaluation porte également sur les résultats de l'application de ce plan au regard des objectifs prévus à l'</w:t>
      </w:r>
      <w:hyperlink r:id="rId580" w:history="1">
        <w:r w:rsidRPr="00874A27">
          <w:rPr>
            <w:rFonts w:ascii="Arial" w:eastAsia="Times New Roman" w:hAnsi="Arial" w:cs="Arial"/>
            <w:color w:val="336699"/>
            <w:sz w:val="19"/>
            <w:szCs w:val="19"/>
            <w:u w:val="single"/>
            <w:lang w:eastAsia="fr-FR"/>
          </w:rPr>
          <w:t>article L. 302-1 du code de la construction et de l'habitation</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xml:space="preserve">« Cette analyse des résultats est organisée tous les neuf ans ou, si le plan local d'urbanisme tient </w:t>
      </w:r>
      <w:r w:rsidRPr="00874A27">
        <w:rPr>
          <w:rFonts w:ascii="Arial" w:eastAsia="Times New Roman" w:hAnsi="Arial" w:cs="Arial"/>
          <w:color w:val="000000"/>
          <w:sz w:val="19"/>
          <w:szCs w:val="19"/>
          <w:lang w:eastAsia="fr-FR"/>
        </w:rPr>
        <w:lastRenderedPageBreak/>
        <w:t>lieu de programme local de l'habitat, tous les six ans et donne lieu à une délibération de ce même organe délibérant ou du conseil municipal sur l'opportunité de réviser ce plan.</w:t>
      </w:r>
      <w:r w:rsidRPr="00874A27">
        <w:rPr>
          <w:rFonts w:ascii="Arial" w:eastAsia="Times New Roman" w:hAnsi="Arial" w:cs="Arial"/>
          <w:color w:val="000000"/>
          <w:sz w:val="19"/>
          <w:szCs w:val="19"/>
          <w:lang w:eastAsia="fr-FR"/>
        </w:rPr>
        <w:br/>
        <w:t>« Lorsque le plan local d'urbanisme tient lieu de programme local de l'habitat, le préfet peut demander les modifications qu'il estime nécessaire d'apporter au plan lorsque ce dernier ne répond pas aux objectifs définis à l'</w:t>
      </w:r>
      <w:hyperlink r:id="rId581" w:history="1">
        <w:r w:rsidRPr="00874A27">
          <w:rPr>
            <w:rFonts w:ascii="Arial" w:eastAsia="Times New Roman" w:hAnsi="Arial" w:cs="Arial"/>
            <w:color w:val="336699"/>
            <w:sz w:val="19"/>
            <w:szCs w:val="19"/>
            <w:u w:val="single"/>
            <w:lang w:eastAsia="fr-FR"/>
          </w:rPr>
          <w:t>article L. 302-2 du code de la construction et de l'habitation</w:t>
        </w:r>
      </w:hyperlink>
      <w:r w:rsidRPr="00874A27">
        <w:rPr>
          <w:rFonts w:ascii="Arial" w:eastAsia="Times New Roman" w:hAnsi="Arial" w:cs="Arial"/>
          <w:color w:val="000000"/>
          <w:sz w:val="19"/>
          <w:szCs w:val="19"/>
          <w:lang w:eastAsia="fr-FR"/>
        </w:rPr>
        <w:t>. Dans un délai d'un mois, l'établissement public de coopération intercommunale fait connaître au préfet s'il entend procéder aux modifications. A défaut d'accord ou à défaut d'une délibération approuvant les modifications demandées dans un délai d'un an à compter de la demande de modifications, le préfet engage une modification ou une révision du plan.</w:t>
      </w:r>
      <w:r w:rsidRPr="00874A27">
        <w:rPr>
          <w:rFonts w:ascii="Arial" w:eastAsia="Times New Roman" w:hAnsi="Arial" w:cs="Arial"/>
          <w:color w:val="000000"/>
          <w:sz w:val="19"/>
          <w:szCs w:val="19"/>
          <w:lang w:eastAsia="fr-FR"/>
        </w:rPr>
        <w:br/>
        <w:t>« Lorsque le plan local d'urbanisme tient lieu de programme local de l'habitat, l'organe délibérant de l'établissement public de coopération intercommunale réalise, trois ans au plus tard à compter de la délibération portant approbation ou révision de ce plan, un bilan de l'application des dispositions de ce plan relatives à l'habitat au regard des objectifs prévus à l'</w:t>
      </w:r>
      <w:hyperlink r:id="rId582" w:history="1">
        <w:r w:rsidRPr="00874A27">
          <w:rPr>
            <w:rFonts w:ascii="Arial" w:eastAsia="Times New Roman" w:hAnsi="Arial" w:cs="Arial"/>
            <w:color w:val="336699"/>
            <w:sz w:val="19"/>
            <w:szCs w:val="19"/>
            <w:u w:val="single"/>
            <w:lang w:eastAsia="fr-FR"/>
          </w:rPr>
          <w:t>article L. 302-1 du code de la construction et de l'habitation</w:t>
        </w:r>
      </w:hyperlink>
      <w:r w:rsidRPr="00874A27">
        <w:rPr>
          <w:rFonts w:ascii="Arial" w:eastAsia="Times New Roman" w:hAnsi="Arial" w:cs="Arial"/>
          <w:color w:val="000000"/>
          <w:sz w:val="19"/>
          <w:szCs w:val="19"/>
          <w:lang w:eastAsia="fr-FR"/>
        </w:rPr>
        <w:t>. Ce bilan est transmis au préfet de département. Il est organisé tous les trois ans dès lors que le plan n'a pas été mis en révision. » ;</w:t>
      </w:r>
      <w:r w:rsidRPr="00874A27">
        <w:rPr>
          <w:rFonts w:ascii="Arial" w:eastAsia="Times New Roman" w:hAnsi="Arial" w:cs="Arial"/>
          <w:color w:val="000000"/>
          <w:sz w:val="19"/>
          <w:szCs w:val="19"/>
          <w:lang w:eastAsia="fr-FR"/>
        </w:rPr>
        <w:br/>
        <w:t>16° L'article L. 123-12-2 est abrogé ;</w:t>
      </w:r>
      <w:r w:rsidRPr="00874A27">
        <w:rPr>
          <w:rFonts w:ascii="Arial" w:eastAsia="Times New Roman" w:hAnsi="Arial" w:cs="Arial"/>
          <w:color w:val="000000"/>
          <w:sz w:val="19"/>
          <w:szCs w:val="19"/>
          <w:lang w:eastAsia="fr-FR"/>
        </w:rPr>
        <w:br/>
        <w:t>17° L'article L. 123-14-1 est ainsi modifié :</w:t>
      </w:r>
      <w:r w:rsidRPr="00874A27">
        <w:rPr>
          <w:rFonts w:ascii="Arial" w:eastAsia="Times New Roman" w:hAnsi="Arial" w:cs="Arial"/>
          <w:color w:val="000000"/>
          <w:sz w:val="19"/>
          <w:szCs w:val="19"/>
          <w:lang w:eastAsia="fr-FR"/>
        </w:rPr>
        <w:br/>
        <w:t>a) Le troisième alinéa est remplacé par trois alinéas ainsi rédigés :</w:t>
      </w:r>
      <w:r w:rsidRPr="00874A27">
        <w:rPr>
          <w:rFonts w:ascii="Arial" w:eastAsia="Times New Roman" w:hAnsi="Arial" w:cs="Arial"/>
          <w:color w:val="000000"/>
          <w:sz w:val="19"/>
          <w:szCs w:val="19"/>
          <w:lang w:eastAsia="fr-FR"/>
        </w:rPr>
        <w:br/>
        <w:t>« ― à l'issue du délai mentionné au deuxième alinéa du IV de l'article L. 111-1-1, le plan local d'urbanisme n'a pas été rendu compatible avec le schéma de cohérence territoriale ou le schéma de secteur ;</w:t>
      </w:r>
      <w:r w:rsidRPr="00874A27">
        <w:rPr>
          <w:rFonts w:ascii="Arial" w:eastAsia="Times New Roman" w:hAnsi="Arial" w:cs="Arial"/>
          <w:color w:val="000000"/>
          <w:sz w:val="19"/>
          <w:szCs w:val="19"/>
          <w:lang w:eastAsia="fr-FR"/>
        </w:rPr>
        <w:br/>
        <w:t>« ― en l'absence de schéma de cohérence territoriale et à l'issue du délai de trois ans mentionné au quatrième alinéa du IV de l'article L. 111-1-1, le plan local d'urbanisme n'a pas été rendu compatible ou n'a pas pris en compte les documents mentionnés aux I et II du même article L. 111-1-1 ;</w:t>
      </w:r>
      <w:r w:rsidRPr="00874A27">
        <w:rPr>
          <w:rFonts w:ascii="Arial" w:eastAsia="Times New Roman" w:hAnsi="Arial" w:cs="Arial"/>
          <w:color w:val="000000"/>
          <w:sz w:val="19"/>
          <w:szCs w:val="19"/>
          <w:lang w:eastAsia="fr-FR"/>
        </w:rPr>
        <w:br/>
        <w:t>« ― à l'issue du délai de trois ans mentionné au dernier alinéa de l'article L. 123-1-9, le plan local d'urbanisme n'a pas été rendu compatible avec les documents mentionnés aux deuxième et troisième alinéas de ce même article ; »</w:t>
      </w:r>
      <w:r w:rsidRPr="00874A27">
        <w:rPr>
          <w:rFonts w:ascii="Arial" w:eastAsia="Times New Roman" w:hAnsi="Arial" w:cs="Arial"/>
          <w:color w:val="000000"/>
          <w:sz w:val="19"/>
          <w:szCs w:val="19"/>
          <w:lang w:eastAsia="fr-FR"/>
        </w:rPr>
        <w:br/>
        <w:t>b) Au quatrième alinéa, la référence : « à la seconde phrase du troisième alinéa » est remplacée par la référence : « au dernier alinéa » ;</w:t>
      </w:r>
      <w:r w:rsidRPr="00874A27">
        <w:rPr>
          <w:rFonts w:ascii="Arial" w:eastAsia="Times New Roman" w:hAnsi="Arial" w:cs="Arial"/>
          <w:color w:val="000000"/>
          <w:sz w:val="19"/>
          <w:szCs w:val="19"/>
          <w:lang w:eastAsia="fr-FR"/>
        </w:rPr>
        <w:br/>
        <w:t>18° Le livre VI est complété par un article L. 600-9 ainsi rédigé :</w:t>
      </w:r>
      <w:r w:rsidRPr="00874A27">
        <w:rPr>
          <w:rFonts w:ascii="Arial" w:eastAsia="Times New Roman" w:hAnsi="Arial" w:cs="Arial"/>
          <w:color w:val="000000"/>
          <w:sz w:val="19"/>
          <w:szCs w:val="19"/>
          <w:lang w:eastAsia="fr-FR"/>
        </w:rPr>
        <w:br/>
        <w:t>« Art. L. 600-9.-Si le juge administratif, saisi de conclusions dirigées contre un schéma de cohérence territoriale, un plan local d'urbanisme ou une carte communale, estime, après avoir constaté que les autres moyens ne sont pas fondés, qu'une illégalité entachant l'élaboration ou la révision de cet acte est susceptible d'être régularisée, il peut, après avoir invité les parties à présenter leurs observations, surseoir à statuer jusqu'à l'expiration du délai qu'il fixe pour cette régularisation et pendant lequel le document d'urbanisme reste applicable, sous les réserves suivantes :</w:t>
      </w:r>
      <w:r w:rsidRPr="00874A27">
        <w:rPr>
          <w:rFonts w:ascii="Arial" w:eastAsia="Times New Roman" w:hAnsi="Arial" w:cs="Arial"/>
          <w:color w:val="000000"/>
          <w:sz w:val="19"/>
          <w:szCs w:val="19"/>
          <w:lang w:eastAsia="fr-FR"/>
        </w:rPr>
        <w:br/>
        <w:t>« 1° En cas d'illégalité autre qu'un vice de forme ou de procédure, pour les schémas de cohérence territoriale, les plans locaux d'urbanisme et les cartes communales, le sursis à statuer ne peut être prononcé que si l'illégalité est susceptible d'être régularisée par une procédure de modification prévue aux articles L. 122-14-1 à L. 122-14-3 ou L. 123-13-1 à L. 123-13-3 ou au cinquième alinéa de l'article L. 124-2 ;</w:t>
      </w:r>
      <w:r w:rsidRPr="00874A27">
        <w:rPr>
          <w:rFonts w:ascii="Arial" w:eastAsia="Times New Roman" w:hAnsi="Arial" w:cs="Arial"/>
          <w:color w:val="000000"/>
          <w:sz w:val="19"/>
          <w:szCs w:val="19"/>
          <w:lang w:eastAsia="fr-FR"/>
        </w:rPr>
        <w:br/>
        <w:t>« 2° En cas d'illégalité pour vice de forme ou de procédure, le sursis à statuer ne peut être prononcé que si l'illégalité a eu lieu, pour les schémas de cohérence territoriale et les plans locaux d'urbanisme, après le débat sur les orientations du projet d'aménagement et de développement durables.</w:t>
      </w:r>
      <w:r w:rsidRPr="00874A27">
        <w:rPr>
          <w:rFonts w:ascii="Arial" w:eastAsia="Times New Roman" w:hAnsi="Arial" w:cs="Arial"/>
          <w:color w:val="000000"/>
          <w:sz w:val="19"/>
          <w:szCs w:val="19"/>
          <w:lang w:eastAsia="fr-FR"/>
        </w:rPr>
        <w:br/>
        <w:t>« Si la régularisation intervient dans le délai fixé, elle est notifiée au juge, qui statue après avoir invité les parties à présenter leurs observations.</w:t>
      </w:r>
      <w:r w:rsidRPr="00874A27">
        <w:rPr>
          <w:rFonts w:ascii="Arial" w:eastAsia="Times New Roman" w:hAnsi="Arial" w:cs="Arial"/>
          <w:color w:val="000000"/>
          <w:sz w:val="19"/>
          <w:szCs w:val="19"/>
          <w:lang w:eastAsia="fr-FR"/>
        </w:rPr>
        <w:br/>
        <w:t>« Si, après avoir écarté les autres moyens, le juge administratif estime que le vice qu'il relève affecte notamment un plan de secteur, le programme d'orientations et d'actions du plan local d'urbanisme ou les dispositions relatives à l'habitat ou aux transports et déplacements des orientations d'aménagement et de programmation, il peut limiter à cette partie la portée de l'annulation qu'il prononce. »</w:t>
      </w:r>
      <w:r w:rsidRPr="00874A27">
        <w:rPr>
          <w:rFonts w:ascii="Arial" w:eastAsia="Times New Roman" w:hAnsi="Arial" w:cs="Arial"/>
          <w:color w:val="000000"/>
          <w:sz w:val="19"/>
          <w:szCs w:val="19"/>
          <w:lang w:eastAsia="fr-FR"/>
        </w:rPr>
        <w:br/>
        <w:t>II. ― Sous réserve des dispositions du deuxième alinéa du II de l'article 139 de la présente loi, les organes délibérants des établissements publics de coopération intercommunale ayant engagé l'élaboration, la révision ou la modification d'un plan local d'urbanisme à la date de publication de la présente loi peuvent opter pour poursuivre la procédure selon les dispositions en vigueur antérieurement à cette date. Toutefois, les articles </w:t>
      </w:r>
      <w:hyperlink r:id="rId583" w:history="1">
        <w:r w:rsidRPr="00874A27">
          <w:rPr>
            <w:rFonts w:ascii="Arial" w:eastAsia="Times New Roman" w:hAnsi="Arial" w:cs="Arial"/>
            <w:color w:val="336699"/>
            <w:sz w:val="19"/>
            <w:szCs w:val="19"/>
            <w:u w:val="single"/>
            <w:lang w:eastAsia="fr-FR"/>
          </w:rPr>
          <w:t>L. 123-1-1 </w:t>
        </w:r>
      </w:hyperlink>
      <w:r w:rsidRPr="00874A27">
        <w:rPr>
          <w:rFonts w:ascii="Arial" w:eastAsia="Times New Roman" w:hAnsi="Arial" w:cs="Arial"/>
          <w:color w:val="000000"/>
          <w:sz w:val="19"/>
          <w:szCs w:val="19"/>
          <w:lang w:eastAsia="fr-FR"/>
        </w:rPr>
        <w:t>et L. 600-9 du code de l'urbanisme, dans leur rédaction résultant de la présente loi, sont applicables aux documents dont l'élaboration, la révision ou la modification a été engagée avant la publication de cette même loi.</w:t>
      </w:r>
      <w:r w:rsidRPr="00874A27">
        <w:rPr>
          <w:rFonts w:ascii="Arial" w:eastAsia="Times New Roman" w:hAnsi="Arial" w:cs="Arial"/>
          <w:color w:val="000000"/>
          <w:sz w:val="19"/>
          <w:szCs w:val="19"/>
          <w:lang w:eastAsia="fr-FR"/>
        </w:rPr>
        <w:br/>
        <w:t xml:space="preserve">Les plans locaux d'urbanisme élaborés ou révisés par un établissement public de coopération intercommunale avant la date de publication de ladite loi, ainsi que ceux dont la procédure d'élaboration ou de révision est achevée après cette même date conformément aux dispositions applicables antérieurement à ladite date, sont mis en conformité avec les dispositions issues de la présente loi lors de leur prochaine révision. Les dispositions de l'article L. 123-12-1 du même code, </w:t>
      </w:r>
      <w:r w:rsidRPr="00874A27">
        <w:rPr>
          <w:rFonts w:ascii="Arial" w:eastAsia="Times New Roman" w:hAnsi="Arial" w:cs="Arial"/>
          <w:color w:val="000000"/>
          <w:sz w:val="19"/>
          <w:szCs w:val="19"/>
          <w:lang w:eastAsia="fr-FR"/>
        </w:rPr>
        <w:lastRenderedPageBreak/>
        <w:t>dans sa rédaction résultant de la même loi, et relatives à l'analyse des résultats et à l'opportunité d'une révision des plans locaux d'urbanisme sont applicables à compter du 1er juillet 2015.</w:t>
      </w:r>
      <w:r w:rsidRPr="00874A27">
        <w:rPr>
          <w:rFonts w:ascii="Arial" w:eastAsia="Times New Roman" w:hAnsi="Arial" w:cs="Arial"/>
          <w:color w:val="000000"/>
          <w:sz w:val="19"/>
          <w:szCs w:val="19"/>
          <w:lang w:eastAsia="fr-FR"/>
        </w:rPr>
        <w:br/>
        <w:t>III. ― Le V de l'article 19 de la loi n° 2010-788 du 12 juillet 2010 portant engagement national pour l'environnement est ainsi modifié :</w:t>
      </w:r>
      <w:r w:rsidRPr="00874A27">
        <w:rPr>
          <w:rFonts w:ascii="Arial" w:eastAsia="Times New Roman" w:hAnsi="Arial" w:cs="Arial"/>
          <w:color w:val="000000"/>
          <w:sz w:val="19"/>
          <w:szCs w:val="19"/>
          <w:lang w:eastAsia="fr-FR"/>
        </w:rPr>
        <w:br/>
        <w:t>1° A la deuxième phrase du quatrième alinéa, la référence : « deuxième alinéa » est remplacée par la référence : « premier alinéa du II » ;</w:t>
      </w:r>
      <w:r w:rsidRPr="00874A27">
        <w:rPr>
          <w:rFonts w:ascii="Arial" w:eastAsia="Times New Roman" w:hAnsi="Arial" w:cs="Arial"/>
          <w:color w:val="000000"/>
          <w:sz w:val="19"/>
          <w:szCs w:val="19"/>
          <w:lang w:eastAsia="fr-FR"/>
        </w:rPr>
        <w:br/>
        <w:t>2° La première phrase du dernier alinéa est complétée par les mots : « tenant lieu, le cas échéant, de programme local de l'habitat ou de plan de déplacements urbains » ;</w:t>
      </w:r>
      <w:r w:rsidRPr="00874A27">
        <w:rPr>
          <w:rFonts w:ascii="Arial" w:eastAsia="Times New Roman" w:hAnsi="Arial" w:cs="Arial"/>
          <w:color w:val="000000"/>
          <w:sz w:val="19"/>
          <w:szCs w:val="19"/>
          <w:lang w:eastAsia="fr-FR"/>
        </w:rPr>
        <w:br/>
        <w:t>3° La dernière phrase du dernier alinéa est supprimée.</w:t>
      </w:r>
      <w:r w:rsidRPr="00874A27">
        <w:rPr>
          <w:rFonts w:ascii="Arial" w:eastAsia="Times New Roman" w:hAnsi="Arial" w:cs="Arial"/>
          <w:color w:val="000000"/>
          <w:sz w:val="19"/>
          <w:szCs w:val="19"/>
          <w:lang w:eastAsia="fr-FR"/>
        </w:rPr>
        <w:br/>
        <w:t>IV. ― Lorsqu'aucune commune d'un parc naturel régional n'est comprise dans le périmètre d'un schéma de cohérence territoriale, la charte du parc naturel régional, approuvée avant la fin du sixième mois suivant la promulgation de la présente loi, peut comporter un chapitre individualisé tenant lieu de plan local d'urbanisme intercommunal dès lors qu'il :</w:t>
      </w:r>
      <w:r w:rsidRPr="00874A27">
        <w:rPr>
          <w:rFonts w:ascii="Arial" w:eastAsia="Times New Roman" w:hAnsi="Arial" w:cs="Arial"/>
          <w:color w:val="000000"/>
          <w:sz w:val="19"/>
          <w:szCs w:val="19"/>
          <w:lang w:eastAsia="fr-FR"/>
        </w:rPr>
        <w:br/>
        <w:t>1° Porte sur le périmètre d'un établissement public de coopération intercommunale compétent en matière de plan local d'urbanisme ;</w:t>
      </w:r>
      <w:r w:rsidRPr="00874A27">
        <w:rPr>
          <w:rFonts w:ascii="Arial" w:eastAsia="Times New Roman" w:hAnsi="Arial" w:cs="Arial"/>
          <w:color w:val="000000"/>
          <w:sz w:val="19"/>
          <w:szCs w:val="19"/>
          <w:lang w:eastAsia="fr-FR"/>
        </w:rPr>
        <w:br/>
        <w:t>2° Respecte les principes et les objectifs des plans locaux d'urbanisme énoncés à l'</w:t>
      </w:r>
      <w:hyperlink r:id="rId584" w:history="1">
        <w:r w:rsidRPr="00874A27">
          <w:rPr>
            <w:rFonts w:ascii="Arial" w:eastAsia="Times New Roman" w:hAnsi="Arial" w:cs="Arial"/>
            <w:color w:val="336699"/>
            <w:sz w:val="19"/>
            <w:szCs w:val="19"/>
            <w:u w:val="single"/>
            <w:lang w:eastAsia="fr-FR"/>
          </w:rPr>
          <w:t>article L. 123-1 du code de l'urbanisme</w:t>
        </w:r>
      </w:hyperlink>
      <w:r w:rsidRPr="00874A27">
        <w:rPr>
          <w:rFonts w:ascii="Arial" w:eastAsia="Times New Roman" w:hAnsi="Arial" w:cs="Arial"/>
          <w:color w:val="000000"/>
          <w:sz w:val="19"/>
          <w:szCs w:val="19"/>
          <w:lang w:eastAsia="fr-FR"/>
        </w:rPr>
        <w:t>, à l'exception des deuxième à cinquième alinéas du II ;</w:t>
      </w:r>
      <w:r w:rsidRPr="00874A27">
        <w:rPr>
          <w:rFonts w:ascii="Arial" w:eastAsia="Times New Roman" w:hAnsi="Arial" w:cs="Arial"/>
          <w:color w:val="000000"/>
          <w:sz w:val="19"/>
          <w:szCs w:val="19"/>
          <w:lang w:eastAsia="fr-FR"/>
        </w:rPr>
        <w:br/>
        <w:t>3° Comprend les documents constitutifs d'un plan local d'urbanisme mentionnés au premier alinéa du I du même article L. 123-1 ;</w:t>
      </w:r>
      <w:r w:rsidRPr="00874A27">
        <w:rPr>
          <w:rFonts w:ascii="Arial" w:eastAsia="Times New Roman" w:hAnsi="Arial" w:cs="Arial"/>
          <w:color w:val="000000"/>
          <w:sz w:val="19"/>
          <w:szCs w:val="19"/>
          <w:lang w:eastAsia="fr-FR"/>
        </w:rPr>
        <w:br/>
        <w:t>4° Est élaboré dans les conditions d'un plan local d'urbanisme définies aux articles L. 123-6 à L. 123-12-1 du même code.</w:t>
      </w:r>
      <w:r w:rsidRPr="00874A27">
        <w:rPr>
          <w:rFonts w:ascii="Arial" w:eastAsia="Times New Roman" w:hAnsi="Arial" w:cs="Arial"/>
          <w:color w:val="000000"/>
          <w:sz w:val="19"/>
          <w:szCs w:val="19"/>
          <w:lang w:eastAsia="fr-FR"/>
        </w:rPr>
        <w:br/>
        <w:t>Le chapitre individualisé tient lieu de plan local d'urbanisme jusqu'à la prochaine révision de la charte ou jusqu'à l'élaboration d'un plan local d'urbanisme intercommunal. Il peut faire l'objet des procédures d'évolution prévues aux articles L. 123-13-1 à L. 123-14-2 du </w:t>
      </w:r>
      <w:hyperlink r:id="rId585" w:history="1">
        <w:r w:rsidRPr="00874A27">
          <w:rPr>
            <w:rFonts w:ascii="Arial" w:eastAsia="Times New Roman" w:hAnsi="Arial" w:cs="Arial"/>
            <w:color w:val="336699"/>
            <w:sz w:val="19"/>
            <w:szCs w:val="19"/>
            <w:u w:val="single"/>
            <w:lang w:eastAsia="fr-FR"/>
          </w:rPr>
          <w:t>code de l'urbanisme</w:t>
        </w:r>
      </w:hyperlink>
      <w:r w:rsidRPr="00874A27">
        <w:rPr>
          <w:rFonts w:ascii="Arial" w:eastAsia="Times New Roman" w:hAnsi="Arial" w:cs="Arial"/>
          <w:color w:val="000000"/>
          <w:sz w:val="19"/>
          <w:szCs w:val="19"/>
          <w:lang w:eastAsia="fr-FR"/>
        </w:rPr>
        <w:t>.</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37" w:name="JORFARTI000028774521"/>
      <w:bookmarkEnd w:id="137"/>
      <w:r w:rsidRPr="00874A27">
        <w:rPr>
          <w:rFonts w:ascii="Arial" w:eastAsia="Times New Roman" w:hAnsi="Arial" w:cs="Arial"/>
          <w:b/>
          <w:bCs/>
          <w:color w:val="000000"/>
          <w:sz w:val="23"/>
          <w:szCs w:val="23"/>
          <w:lang w:eastAsia="fr-FR"/>
        </w:rPr>
        <w:t>Article 138 </w:t>
      </w:r>
      <w:hyperlink r:id="rId586" w:tooltip="En savoir plus sur l'article 13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121-6 du code de l'urbanisme est ainsi rédigé :</w:t>
      </w:r>
      <w:r w:rsidRPr="00874A27">
        <w:rPr>
          <w:rFonts w:ascii="Arial" w:eastAsia="Times New Roman" w:hAnsi="Arial" w:cs="Arial"/>
          <w:color w:val="000000"/>
          <w:sz w:val="19"/>
          <w:szCs w:val="19"/>
          <w:lang w:eastAsia="fr-FR"/>
        </w:rPr>
        <w:br/>
        <w:t>« Art. L. 121-6.-Il est institué, dans chaque département, une commission de conciliation en matière d'élaboration de schémas de cohérence territoriale, de schémas de secteur, de plans locaux d'urbanisme et de cartes communales. Elle est composée, à parts égales, d'élus communaux désignés par les maires et les présidents des établissements publics compétents en matière d'urbanisme du département et de personnes qualifiées désignées par le représentant de l'Etat dans le département, dont un représentant d'une association agréée de protection de l'environnement. Elle élit en son sein un président, qui doit être un élu local.</w:t>
      </w:r>
      <w:r w:rsidRPr="00874A27">
        <w:rPr>
          <w:rFonts w:ascii="Arial" w:eastAsia="Times New Roman" w:hAnsi="Arial" w:cs="Arial"/>
          <w:color w:val="000000"/>
          <w:sz w:val="19"/>
          <w:szCs w:val="19"/>
          <w:lang w:eastAsia="fr-FR"/>
        </w:rPr>
        <w:br/>
        <w:t>« La commission peut être saisie, par le représentant de l'Etat dans le département, les établissements publics compétents en matière d'urbanisme ou les communes et les personnes publiques mentionnées à l'article L. 121-4, ainsi que par une des associations mentionnées à l'article L. 121-5, du projet de document d'urbanisme arrêté ou du document d'urbanisme approuvé. La commission ne peut être saisie par une commune en vue de régler un différend qui oppose cette dernière à l'établissement public de coopération intercommunale dont elle est membre, et inversement.</w:t>
      </w:r>
      <w:r w:rsidRPr="00874A27">
        <w:rPr>
          <w:rFonts w:ascii="Arial" w:eastAsia="Times New Roman" w:hAnsi="Arial" w:cs="Arial"/>
          <w:color w:val="000000"/>
          <w:sz w:val="19"/>
          <w:szCs w:val="19"/>
          <w:lang w:eastAsia="fr-FR"/>
        </w:rPr>
        <w:br/>
        <w:t>« La commission entend, à leur demande, les parties intéressées et, à leur demande, les représentants des associations mentionnées au même article L. 121-5. Elle formule, en tant que de besoin, des propositions dans le délai de deux mois à compter de sa saisine. Ces propositions sont publiques.</w:t>
      </w:r>
      <w:r w:rsidRPr="00874A27">
        <w:rPr>
          <w:rFonts w:ascii="Arial" w:eastAsia="Times New Roman" w:hAnsi="Arial" w:cs="Arial"/>
          <w:color w:val="000000"/>
          <w:sz w:val="19"/>
          <w:szCs w:val="19"/>
          <w:lang w:eastAsia="fr-FR"/>
        </w:rPr>
        <w:br/>
        <w:t>« Lorsque la commission est saisie du projet de document d'urbanisme, les propositions de la commission sont jointes au dossier d'enquête publique. »</w:t>
      </w:r>
    </w:p>
    <w:p w:rsidR="00874A27" w:rsidRPr="00874A27" w:rsidRDefault="00874A27" w:rsidP="00874A27">
      <w:pPr>
        <w:numPr>
          <w:ilvl w:val="1"/>
          <w:numId w:val="4"/>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III : Lutte contre l'étalement urbain et la consommation d'espaces naturels, agricoles et forestiers</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38" w:name="JORFARTI000028773164"/>
      <w:bookmarkEnd w:id="138"/>
      <w:r w:rsidRPr="00874A27">
        <w:rPr>
          <w:rFonts w:ascii="Arial" w:eastAsia="Times New Roman" w:hAnsi="Arial" w:cs="Arial"/>
          <w:b/>
          <w:bCs/>
          <w:color w:val="000000"/>
          <w:sz w:val="23"/>
          <w:szCs w:val="23"/>
          <w:lang w:eastAsia="fr-FR"/>
        </w:rPr>
        <w:t>Article 139 </w:t>
      </w:r>
      <w:hyperlink r:id="rId587" w:tooltip="En savoir plus sur l'article 13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de l'urbanisme est ainsi modifié :</w:t>
      </w:r>
      <w:r w:rsidRPr="00874A27">
        <w:rPr>
          <w:rFonts w:ascii="Arial" w:eastAsia="Times New Roman" w:hAnsi="Arial" w:cs="Arial"/>
          <w:color w:val="000000"/>
          <w:sz w:val="19"/>
          <w:szCs w:val="19"/>
          <w:lang w:eastAsia="fr-FR"/>
        </w:rPr>
        <w:br/>
        <w:t>1° L'article L. 122-1-2 est ainsi modifié :</w:t>
      </w:r>
      <w:r w:rsidRPr="00874A27">
        <w:rPr>
          <w:rFonts w:ascii="Arial" w:eastAsia="Times New Roman" w:hAnsi="Arial" w:cs="Arial"/>
          <w:color w:val="000000"/>
          <w:sz w:val="19"/>
          <w:szCs w:val="19"/>
          <w:lang w:eastAsia="fr-FR"/>
        </w:rPr>
        <w:br/>
        <w:t>a) Au premier alinéa, après les mots : « d'environnement, », sont insérés les mots : « notamment en matière de biodiversité, » ;</w:t>
      </w:r>
      <w:r w:rsidRPr="00874A27">
        <w:rPr>
          <w:rFonts w:ascii="Arial" w:eastAsia="Times New Roman" w:hAnsi="Arial" w:cs="Arial"/>
          <w:color w:val="000000"/>
          <w:sz w:val="19"/>
          <w:szCs w:val="19"/>
          <w:lang w:eastAsia="fr-FR"/>
        </w:rPr>
        <w:br/>
        <w:t>b) Après le premier alinéa, il est inséré un alinéa ainsi rédigé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Il identifie, en prenant en compte la qualité des paysages et du patrimoine architectural, les espaces dans lesquels les plans locaux d'urbanisme doivent analyser les capacités de densification et de mutation en application de l'article L. 123-1-2. » ;</w:t>
      </w:r>
      <w:r w:rsidRPr="00874A27">
        <w:rPr>
          <w:rFonts w:ascii="Arial" w:eastAsia="Times New Roman" w:hAnsi="Arial" w:cs="Arial"/>
          <w:color w:val="000000"/>
          <w:sz w:val="19"/>
          <w:szCs w:val="19"/>
          <w:lang w:eastAsia="fr-FR"/>
        </w:rPr>
        <w:br/>
        <w:t>2° L'article L. 123-1-2 est ainsi modifié :</w:t>
      </w:r>
      <w:r w:rsidRPr="00874A27">
        <w:rPr>
          <w:rFonts w:ascii="Arial" w:eastAsia="Times New Roman" w:hAnsi="Arial" w:cs="Arial"/>
          <w:color w:val="000000"/>
          <w:sz w:val="19"/>
          <w:szCs w:val="19"/>
          <w:lang w:eastAsia="fr-FR"/>
        </w:rPr>
        <w:br/>
        <w:t>a) Au deuxième alinéa, après les mots : « d'environnement, », sont insérés les mots : « notamment en matière de biodiversité, » ;</w:t>
      </w:r>
      <w:r w:rsidRPr="00874A27">
        <w:rPr>
          <w:rFonts w:ascii="Arial" w:eastAsia="Times New Roman" w:hAnsi="Arial" w:cs="Arial"/>
          <w:color w:val="000000"/>
          <w:sz w:val="19"/>
          <w:szCs w:val="19"/>
          <w:lang w:eastAsia="fr-FR"/>
        </w:rPr>
        <w:br/>
        <w:t>b) Après le deuxième alinéa, sont insérés deux alinéas ainsi rédigés :</w:t>
      </w:r>
      <w:r w:rsidRPr="00874A27">
        <w:rPr>
          <w:rFonts w:ascii="Arial" w:eastAsia="Times New Roman" w:hAnsi="Arial" w:cs="Arial"/>
          <w:color w:val="000000"/>
          <w:sz w:val="19"/>
          <w:szCs w:val="19"/>
          <w:lang w:eastAsia="fr-FR"/>
        </w:rPr>
        <w:br/>
        <w:t>« Il analyse la capacité de densification et de mutation de l'ensemble des espaces bâtis, en tenant compte des formes urbaines et architecturales. Il expose les dispositions qui favorisent la densification de ces espaces ainsi que la limitation de la consommation des espaces naturels, agricoles ou forestiers.</w:t>
      </w:r>
      <w:r w:rsidRPr="00874A27">
        <w:rPr>
          <w:rFonts w:ascii="Arial" w:eastAsia="Times New Roman" w:hAnsi="Arial" w:cs="Arial"/>
          <w:color w:val="000000"/>
          <w:sz w:val="19"/>
          <w:szCs w:val="19"/>
          <w:lang w:eastAsia="fr-FR"/>
        </w:rPr>
        <w:br/>
        <w:t>« Il établit un inventaire des capacités de stationnement de véhicules motorisés, de véhicules hybrides et électriques et de vélos des parcs ouverts au public et des possibilités de mutualisation de ces capacités. » ;</w:t>
      </w:r>
      <w:r w:rsidRPr="00874A27">
        <w:rPr>
          <w:rFonts w:ascii="Arial" w:eastAsia="Times New Roman" w:hAnsi="Arial" w:cs="Arial"/>
          <w:color w:val="000000"/>
          <w:sz w:val="19"/>
          <w:szCs w:val="19"/>
          <w:lang w:eastAsia="fr-FR"/>
        </w:rPr>
        <w:br/>
        <w:t>c) Le troisième alinéa est complété par les mots : « au cours des dix années précédant l'approbation du plan ou depuis la dernière révision du document d'urbanisme » ;</w:t>
      </w:r>
      <w:r w:rsidRPr="00874A27">
        <w:rPr>
          <w:rFonts w:ascii="Arial" w:eastAsia="Times New Roman" w:hAnsi="Arial" w:cs="Arial"/>
          <w:color w:val="000000"/>
          <w:sz w:val="19"/>
          <w:szCs w:val="19"/>
          <w:lang w:eastAsia="fr-FR"/>
        </w:rPr>
        <w:br/>
        <w:t>3° L'article L. 123-1-3 est ainsi modifié :</w:t>
      </w:r>
      <w:r w:rsidRPr="00874A27">
        <w:rPr>
          <w:rFonts w:ascii="Arial" w:eastAsia="Times New Roman" w:hAnsi="Arial" w:cs="Arial"/>
          <w:color w:val="000000"/>
          <w:sz w:val="19"/>
          <w:szCs w:val="19"/>
          <w:lang w:eastAsia="fr-FR"/>
        </w:rPr>
        <w:br/>
        <w:t>a) Au premier alinéa, après le mot : « urbanisme, », sont insérés les mots : « de paysage, » ;</w:t>
      </w:r>
      <w:r w:rsidRPr="00874A27">
        <w:rPr>
          <w:rFonts w:ascii="Arial" w:eastAsia="Times New Roman" w:hAnsi="Arial" w:cs="Arial"/>
          <w:color w:val="000000"/>
          <w:sz w:val="19"/>
          <w:szCs w:val="19"/>
          <w:lang w:eastAsia="fr-FR"/>
        </w:rPr>
        <w:br/>
        <w:t>b) Au dernier alinéa, après le mot : « objectifs », il est inséré le mot : « chiffrés » ;</w:t>
      </w:r>
      <w:r w:rsidRPr="00874A27">
        <w:rPr>
          <w:rFonts w:ascii="Arial" w:eastAsia="Times New Roman" w:hAnsi="Arial" w:cs="Arial"/>
          <w:color w:val="000000"/>
          <w:sz w:val="19"/>
          <w:szCs w:val="19"/>
          <w:lang w:eastAsia="fr-FR"/>
        </w:rPr>
        <w:br/>
        <w:t>4° Après le 3° du I de l'article L. 123-13, il est inséré un 4° ainsi rédigé :</w:t>
      </w:r>
      <w:r w:rsidRPr="00874A27">
        <w:rPr>
          <w:rFonts w:ascii="Arial" w:eastAsia="Times New Roman" w:hAnsi="Arial" w:cs="Arial"/>
          <w:color w:val="000000"/>
          <w:sz w:val="19"/>
          <w:szCs w:val="19"/>
          <w:lang w:eastAsia="fr-FR"/>
        </w:rPr>
        <w:br/>
        <w:t>« 4° Soit d'ouvrir à l'urbanisation une zone à urbaniser qui, dans les neuf ans suivant sa création, n'a pas été ouverte à l'urbanisation ou n'a pas fait l'objet d'acquisitions foncières significatives de la part de la commune ou de l'établissement public de coopération intercommunale compétent, directement ou par l'intermédiaire d'un opérateur foncier. » ;</w:t>
      </w:r>
      <w:r w:rsidRPr="00874A27">
        <w:rPr>
          <w:rFonts w:ascii="Arial" w:eastAsia="Times New Roman" w:hAnsi="Arial" w:cs="Arial"/>
          <w:color w:val="000000"/>
          <w:sz w:val="19"/>
          <w:szCs w:val="19"/>
          <w:lang w:eastAsia="fr-FR"/>
        </w:rPr>
        <w:br/>
        <w:t>5° L'article L. 123-13-1 est ainsi modifié :</w:t>
      </w:r>
      <w:r w:rsidRPr="00874A27">
        <w:rPr>
          <w:rFonts w:ascii="Arial" w:eastAsia="Times New Roman" w:hAnsi="Arial" w:cs="Arial"/>
          <w:color w:val="000000"/>
          <w:sz w:val="19"/>
          <w:szCs w:val="19"/>
          <w:lang w:eastAsia="fr-FR"/>
        </w:rPr>
        <w:br/>
        <w:t>a) Au premier alinéa, les mots : « ou les orientations d'aménagement et de programmation » sont remplacés par les mots : «, les orientations d'aménagement et de programmation ou le programme d'orientations et d'actions » ;</w:t>
      </w:r>
      <w:r w:rsidRPr="00874A27">
        <w:rPr>
          <w:rFonts w:ascii="Arial" w:eastAsia="Times New Roman" w:hAnsi="Arial" w:cs="Arial"/>
          <w:color w:val="000000"/>
          <w:sz w:val="19"/>
          <w:szCs w:val="19"/>
          <w:lang w:eastAsia="fr-FR"/>
        </w:rPr>
        <w:br/>
        <w:t>b) Il est ajouté un alinéa ainsi rédigé :</w:t>
      </w:r>
      <w:r w:rsidRPr="00874A27">
        <w:rPr>
          <w:rFonts w:ascii="Arial" w:eastAsia="Times New Roman" w:hAnsi="Arial" w:cs="Arial"/>
          <w:color w:val="000000"/>
          <w:sz w:val="19"/>
          <w:szCs w:val="19"/>
          <w:lang w:eastAsia="fr-FR"/>
        </w:rPr>
        <w:br/>
        <w:t>« Lorsque le projet de modification porte sur l'ouverture à l'urbanisation d'une zone, une délibération motivée de l'organe délibérant de l'établissement public compétent ou du conseil municipal justifie l'utilité de cette ouverture au regard des capacités d'urbanisation encore inexploitées dans les zones déjà urbanisées et la faisabilité opérationnelle d'un projet dans ces zones. » ;</w:t>
      </w:r>
      <w:r w:rsidRPr="00874A27">
        <w:rPr>
          <w:rFonts w:ascii="Arial" w:eastAsia="Times New Roman" w:hAnsi="Arial" w:cs="Arial"/>
          <w:color w:val="000000"/>
          <w:sz w:val="19"/>
          <w:szCs w:val="19"/>
          <w:lang w:eastAsia="fr-FR"/>
        </w:rPr>
        <w:br/>
        <w:t>6° A la seconde phrase du second alinéa de l'article L. 123-18, le mot : « dernier » est remplacé par le mot : « deuxième ».</w:t>
      </w:r>
      <w:r w:rsidRPr="00874A27">
        <w:rPr>
          <w:rFonts w:ascii="Arial" w:eastAsia="Times New Roman" w:hAnsi="Arial" w:cs="Arial"/>
          <w:color w:val="000000"/>
          <w:sz w:val="19"/>
          <w:szCs w:val="19"/>
          <w:lang w:eastAsia="fr-FR"/>
        </w:rPr>
        <w:br/>
        <w:t>II. ― L'article L. 122-1-2 du code de l'urbanisme, dans sa rédaction en vigueur antérieurement à la date de publication de la présente loi, demeure applicable aux procédures en cours si le débat sur les orientations du projet d'aménagement et de développement durables a eu lieu avant cette date.</w:t>
      </w:r>
      <w:r w:rsidRPr="00874A27">
        <w:rPr>
          <w:rFonts w:ascii="Arial" w:eastAsia="Times New Roman" w:hAnsi="Arial" w:cs="Arial"/>
          <w:color w:val="000000"/>
          <w:sz w:val="19"/>
          <w:szCs w:val="19"/>
          <w:lang w:eastAsia="fr-FR"/>
        </w:rPr>
        <w:br/>
        <w:t>L'article L. 123-1-2 du même code, dans sa rédaction en vigueur antérieurement à la date de publication de la présente loi, demeure applicable aux procédures en cours si le débat sur les orientations générales du projet d'aménagement et de développement durables a eu lieu avant cette date ou lorsque ce débat n'est pas exigé avant la date de notification aux personnes publiques associées.</w:t>
      </w:r>
      <w:r w:rsidRPr="00874A27">
        <w:rPr>
          <w:rFonts w:ascii="Arial" w:eastAsia="Times New Roman" w:hAnsi="Arial" w:cs="Arial"/>
          <w:color w:val="000000"/>
          <w:sz w:val="19"/>
          <w:szCs w:val="19"/>
          <w:lang w:eastAsia="fr-FR"/>
        </w:rPr>
        <w:br/>
        <w:t>Le 4° du I entre en vigueur à compter du 1er juillet 2015. Le 5° du I n'est pas applicable aux procédures de modification des plans locaux d'urbanisme lorsque le projet de modification a été notifié aux personnes publiques associées à la date de publication de la présente loi.</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39" w:name="JORFARTI000028773183"/>
      <w:bookmarkEnd w:id="139"/>
      <w:r w:rsidRPr="00874A27">
        <w:rPr>
          <w:rFonts w:ascii="Arial" w:eastAsia="Times New Roman" w:hAnsi="Arial" w:cs="Arial"/>
          <w:b/>
          <w:bCs/>
          <w:color w:val="000000"/>
          <w:sz w:val="23"/>
          <w:szCs w:val="23"/>
          <w:lang w:eastAsia="fr-FR"/>
        </w:rPr>
        <w:t>Article 140 </w:t>
      </w:r>
      <w:hyperlink r:id="rId588" w:tooltip="En savoir plus sur l'article 14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111-1-2 du code de l'urbanisme est ainsi rédigé :</w:t>
      </w:r>
      <w:r w:rsidRPr="00874A27">
        <w:rPr>
          <w:rFonts w:ascii="Arial" w:eastAsia="Times New Roman" w:hAnsi="Arial" w:cs="Arial"/>
          <w:color w:val="000000"/>
          <w:sz w:val="19"/>
          <w:szCs w:val="19"/>
          <w:lang w:eastAsia="fr-FR"/>
        </w:rPr>
        <w:br/>
        <w:t>« Art. L. 111-1-2. - I. ― En l'absence de plan local d'urbanisme ou de carte communale opposable aux tiers, ou de tout document d'urbanisme en tenant lieu, seuls sont autorisés, en dehors des parties actuellement urbanisées de la commune :</w:t>
      </w:r>
      <w:r w:rsidRPr="00874A27">
        <w:rPr>
          <w:rFonts w:ascii="Arial" w:eastAsia="Times New Roman" w:hAnsi="Arial" w:cs="Arial"/>
          <w:color w:val="000000"/>
          <w:sz w:val="19"/>
          <w:szCs w:val="19"/>
          <w:lang w:eastAsia="fr-FR"/>
        </w:rPr>
        <w:br/>
        <w:t>« 1° L'adaptation, le changement de destination, la réfection, l'extension des constructions existantes ou la construction de bâtiments nouveaux à usage d'habitation à l'intérieur du périmètre regroupant les bâtiments d'une ancienne exploitation agricole, dans le respect des traditions architecturales locales ;</w:t>
      </w:r>
      <w:r w:rsidRPr="00874A27">
        <w:rPr>
          <w:rFonts w:ascii="Arial" w:eastAsia="Times New Roman" w:hAnsi="Arial" w:cs="Arial"/>
          <w:color w:val="000000"/>
          <w:sz w:val="19"/>
          <w:szCs w:val="19"/>
          <w:lang w:eastAsia="fr-FR"/>
        </w:rPr>
        <w:br/>
        <w:t>« 2° Les constructions et installations nécessaires à l'exploitation agricole, à des équipements collectifs dès lors qu'elles ne sont pas incompatibles avec l'exercice d'une activité agricole, pastorale ou forestière sur le terrain sur lequel elles sont implantées, à la réalisation d'aires d'accueil ou de terrains de passage des gens du voyage, à la mise en valeur des ressources naturelles et à la réalisation d'opérations d'intérêt national ;</w:t>
      </w:r>
      <w:r w:rsidRPr="00874A27">
        <w:rPr>
          <w:rFonts w:ascii="Arial" w:eastAsia="Times New Roman" w:hAnsi="Arial" w:cs="Arial"/>
          <w:color w:val="000000"/>
          <w:sz w:val="19"/>
          <w:szCs w:val="19"/>
          <w:lang w:eastAsia="fr-FR"/>
        </w:rPr>
        <w:br/>
        <w:t xml:space="preserve">« 3° Les constructions et installations incompatibles avec le voisinage des zones habitées et l'extension </w:t>
      </w:r>
      <w:r w:rsidRPr="00874A27">
        <w:rPr>
          <w:rFonts w:ascii="Arial" w:eastAsia="Times New Roman" w:hAnsi="Arial" w:cs="Arial"/>
          <w:color w:val="000000"/>
          <w:sz w:val="19"/>
          <w:szCs w:val="19"/>
          <w:lang w:eastAsia="fr-FR"/>
        </w:rPr>
        <w:lastRenderedPageBreak/>
        <w:t>mesurée des constructions et installations existantes ;</w:t>
      </w:r>
      <w:r w:rsidRPr="00874A27">
        <w:rPr>
          <w:rFonts w:ascii="Arial" w:eastAsia="Times New Roman" w:hAnsi="Arial" w:cs="Arial"/>
          <w:color w:val="000000"/>
          <w:sz w:val="19"/>
          <w:szCs w:val="19"/>
          <w:lang w:eastAsia="fr-FR"/>
        </w:rPr>
        <w:br/>
        <w:t>« 4° Les constructions ou installations, sur délibération motivée du conseil municipal, si celui-ci considère que l'intérêt de la commune, en particulier pour éviter une diminution de la population communale, le justifie, dès lors qu'elles ne portent pas atteinte à la sauvegarde des espaces naturels et des paysages, à la salubrité et à la sécurité publiques, qu'elles n'entraînent pas un surcroît important de dépenses publiques et que le projet n'est pas contraire aux objectifs visés à l'article L. 110 et aux dispositions des chapitres V et VI du titre IV du livre Ier ou aux directives territoriales d'aménagement précisant leurs modalités d'application.</w:t>
      </w:r>
      <w:r w:rsidRPr="00874A27">
        <w:rPr>
          <w:rFonts w:ascii="Arial" w:eastAsia="Times New Roman" w:hAnsi="Arial" w:cs="Arial"/>
          <w:color w:val="000000"/>
          <w:sz w:val="19"/>
          <w:szCs w:val="19"/>
          <w:lang w:eastAsia="fr-FR"/>
        </w:rPr>
        <w:br/>
        <w:t>« II. ― La construction de bâtiments nouveaux mentionnée au 1° du I du présent article et les projets de constructions, aménagements, installations et travaux mentionnés aux 2° et 3° du même I ayant pour conséquence une réduction des surfaces situées dans les espaces autres qu'urbanisés et sur lesquelles est exercée une activité agricole ou qui sont à vocation agricole doivent être préalablement soumis pour avis par le représentant de l'Etat dans le département à la commission départementale de la consommation des espaces agricoles prévue à l'</w:t>
      </w:r>
      <w:hyperlink r:id="rId589" w:history="1">
        <w:r w:rsidRPr="00874A27">
          <w:rPr>
            <w:rFonts w:ascii="Arial" w:eastAsia="Times New Roman" w:hAnsi="Arial" w:cs="Arial"/>
            <w:color w:val="336699"/>
            <w:sz w:val="19"/>
            <w:szCs w:val="19"/>
            <w:u w:val="single"/>
            <w:lang w:eastAsia="fr-FR"/>
          </w:rPr>
          <w:t>article L. 112-1-1 du code rural et de la pêche maritime</w:t>
        </w:r>
      </w:hyperlink>
      <w:r w:rsidRPr="00874A27">
        <w:rPr>
          <w:rFonts w:ascii="Arial" w:eastAsia="Times New Roman" w:hAnsi="Arial" w:cs="Arial"/>
          <w:color w:val="000000"/>
          <w:sz w:val="19"/>
          <w:szCs w:val="19"/>
          <w:lang w:eastAsia="fr-FR"/>
        </w:rPr>
        <w:t>. Cet avis est réputé favorable s'il n'est pas intervenu dans un délai d'un mois à compter de la saisine de la commission.</w:t>
      </w:r>
      <w:r w:rsidRPr="00874A27">
        <w:rPr>
          <w:rFonts w:ascii="Arial" w:eastAsia="Times New Roman" w:hAnsi="Arial" w:cs="Arial"/>
          <w:color w:val="000000"/>
          <w:sz w:val="19"/>
          <w:szCs w:val="19"/>
          <w:lang w:eastAsia="fr-FR"/>
        </w:rPr>
        <w:br/>
        <w:t>« Les constructions ou installations mentionnées au 4° du même I sont soumises pour avis conforme à cette même commission départementale. Cet avis est réputé favorable s'il n'est pas intervenu dans un délai d'un mois à compter de la saisine de la commission. »</w:t>
      </w:r>
      <w:r w:rsidRPr="00874A27">
        <w:rPr>
          <w:rFonts w:ascii="Arial" w:eastAsia="Times New Roman" w:hAnsi="Arial" w:cs="Arial"/>
          <w:color w:val="000000"/>
          <w:sz w:val="19"/>
          <w:szCs w:val="19"/>
          <w:lang w:eastAsia="fr-FR"/>
        </w:rPr>
        <w:br/>
        <w:t>II. ― Le premier alinéa de l'article L. 121-3 du même code est remplacé par sept alinéas ainsi rédigés :</w:t>
      </w:r>
      <w:r w:rsidRPr="00874A27">
        <w:rPr>
          <w:rFonts w:ascii="Arial" w:eastAsia="Times New Roman" w:hAnsi="Arial" w:cs="Arial"/>
          <w:color w:val="000000"/>
          <w:sz w:val="19"/>
          <w:szCs w:val="19"/>
          <w:lang w:eastAsia="fr-FR"/>
        </w:rPr>
        <w:br/>
        <w:t>« Les communes, les établissements publics de coopération intercommunale et les collectivités territoriales peuvent créer avec l'Etat et les établissements publics ou d'autres organismes qui contribuent à l'aménagement et au développement de leur territoire des organismes de réflexion, et d'études et d'accompagnement des politiques publiques, appelés agences d'urbanisme. Ces agences d'ingénierie partenariale ont notamment pour missions :</w:t>
      </w:r>
      <w:r w:rsidRPr="00874A27">
        <w:rPr>
          <w:rFonts w:ascii="Arial" w:eastAsia="Times New Roman" w:hAnsi="Arial" w:cs="Arial"/>
          <w:color w:val="000000"/>
          <w:sz w:val="19"/>
          <w:szCs w:val="19"/>
          <w:lang w:eastAsia="fr-FR"/>
        </w:rPr>
        <w:br/>
        <w:t>« 1° De suivre les évolutions urbaines et de développer l'observation territoriale ;</w:t>
      </w:r>
      <w:r w:rsidRPr="00874A27">
        <w:rPr>
          <w:rFonts w:ascii="Arial" w:eastAsia="Times New Roman" w:hAnsi="Arial" w:cs="Arial"/>
          <w:color w:val="000000"/>
          <w:sz w:val="19"/>
          <w:szCs w:val="19"/>
          <w:lang w:eastAsia="fr-FR"/>
        </w:rPr>
        <w:br/>
        <w:t>« 2° De participer à la définition des politiques d'aménagement et de développement et à l'élaboration des documents d'urbanisme et de planification qui leur sont liés, notamment les schémas de cohérence territoriale et les plans locaux d'urbanisme intercommunaux ;</w:t>
      </w:r>
      <w:r w:rsidRPr="00874A27">
        <w:rPr>
          <w:rFonts w:ascii="Arial" w:eastAsia="Times New Roman" w:hAnsi="Arial" w:cs="Arial"/>
          <w:color w:val="000000"/>
          <w:sz w:val="19"/>
          <w:szCs w:val="19"/>
          <w:lang w:eastAsia="fr-FR"/>
        </w:rPr>
        <w:br/>
        <w:t>« 3° De préparer les projets d'agglomération métropolitains et territoriaux, dans un souci d'approche intégrée et d'harmonisation des politiques publiques ;</w:t>
      </w:r>
      <w:r w:rsidRPr="00874A27">
        <w:rPr>
          <w:rFonts w:ascii="Arial" w:eastAsia="Times New Roman" w:hAnsi="Arial" w:cs="Arial"/>
          <w:color w:val="000000"/>
          <w:sz w:val="19"/>
          <w:szCs w:val="19"/>
          <w:lang w:eastAsia="fr-FR"/>
        </w:rPr>
        <w:br/>
        <w:t>« 4° De contribuer à diffuser l'innovation, les démarches et les outils du développement territorial durable et la qualité paysagère et urbaine ;</w:t>
      </w:r>
      <w:r w:rsidRPr="00874A27">
        <w:rPr>
          <w:rFonts w:ascii="Arial" w:eastAsia="Times New Roman" w:hAnsi="Arial" w:cs="Arial"/>
          <w:color w:val="000000"/>
          <w:sz w:val="19"/>
          <w:szCs w:val="19"/>
          <w:lang w:eastAsia="fr-FR"/>
        </w:rPr>
        <w:br/>
        <w:t>« 5° D'accompagner les coopérations transfrontalières et les coopérations décentralisées liées aux stratégies urbaines.</w:t>
      </w:r>
      <w:r w:rsidRPr="00874A27">
        <w:rPr>
          <w:rFonts w:ascii="Arial" w:eastAsia="Times New Roman" w:hAnsi="Arial" w:cs="Arial"/>
          <w:color w:val="000000"/>
          <w:sz w:val="19"/>
          <w:szCs w:val="19"/>
          <w:lang w:eastAsia="fr-FR"/>
        </w:rPr>
        <w:br/>
        <w:t>« Elles peuvent prendre la forme d'association ou de groupement d'intérêt public. Ces derniers sont soumis au chapitre II de la loi n° 2011-525 du 17 mai 2011 de simplification et d'amélioration de la qualité du droit. Ils peuvent recruter du personnel propre régi par le </w:t>
      </w:r>
      <w:hyperlink r:id="rId590" w:history="1">
        <w:r w:rsidRPr="00874A27">
          <w:rPr>
            <w:rFonts w:ascii="Arial" w:eastAsia="Times New Roman" w:hAnsi="Arial" w:cs="Arial"/>
            <w:color w:val="336699"/>
            <w:sz w:val="19"/>
            <w:szCs w:val="19"/>
            <w:u w:val="single"/>
            <w:lang w:eastAsia="fr-FR"/>
          </w:rPr>
          <w:t>code du travail</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III. ― Au cinquième alinéa de l'article L. 145-5 du même code, après la référence : « 1° », est insérée la référence : « du I ».</w:t>
      </w:r>
      <w:r w:rsidRPr="00874A27">
        <w:rPr>
          <w:rFonts w:ascii="Arial" w:eastAsia="Times New Roman" w:hAnsi="Arial" w:cs="Arial"/>
          <w:color w:val="000000"/>
          <w:sz w:val="19"/>
          <w:szCs w:val="19"/>
          <w:lang w:eastAsia="fr-FR"/>
        </w:rPr>
        <w:br/>
        <w:t>IV. ― Les délibérations prises sur le fondement du </w:t>
      </w:r>
      <w:hyperlink r:id="rId591" w:history="1">
        <w:r w:rsidRPr="00874A27">
          <w:rPr>
            <w:rFonts w:ascii="Arial" w:eastAsia="Times New Roman" w:hAnsi="Arial" w:cs="Arial"/>
            <w:color w:val="336699"/>
            <w:sz w:val="19"/>
            <w:szCs w:val="19"/>
            <w:u w:val="single"/>
            <w:lang w:eastAsia="fr-FR"/>
          </w:rPr>
          <w:t>4° de l'article L. 111-1-2 du code de l'urbanisme</w:t>
        </w:r>
      </w:hyperlink>
      <w:r w:rsidRPr="00874A27">
        <w:rPr>
          <w:rFonts w:ascii="Arial" w:eastAsia="Times New Roman" w:hAnsi="Arial" w:cs="Arial"/>
          <w:color w:val="000000"/>
          <w:sz w:val="19"/>
          <w:szCs w:val="19"/>
          <w:lang w:eastAsia="fr-FR"/>
        </w:rPr>
        <w:t>, dans sa rédaction antérieure à la publication de la présente loi, demeurent applicables jusqu'à la délivrance des permis et déclarations préalables déposés avant la publication de la même loi pour des constructions ou installations autorisées en application de ces délibérations.</w:t>
      </w:r>
      <w:r w:rsidRPr="00874A27">
        <w:rPr>
          <w:rFonts w:ascii="Arial" w:eastAsia="Times New Roman" w:hAnsi="Arial" w:cs="Arial"/>
          <w:color w:val="000000"/>
          <w:sz w:val="19"/>
          <w:szCs w:val="19"/>
          <w:lang w:eastAsia="fr-FR"/>
        </w:rPr>
        <w:br/>
        <w:t>Le II de l'article L. 122-2 du même code, dans sa rédaction résultant de la présente loi, est applicable à ces constructions et installations.</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40" w:name="JORFARTI000028773194"/>
      <w:bookmarkEnd w:id="140"/>
      <w:r w:rsidRPr="00874A27">
        <w:rPr>
          <w:rFonts w:ascii="Arial" w:eastAsia="Times New Roman" w:hAnsi="Arial" w:cs="Arial"/>
          <w:b/>
          <w:bCs/>
          <w:color w:val="000000"/>
          <w:sz w:val="23"/>
          <w:szCs w:val="23"/>
          <w:lang w:eastAsia="fr-FR"/>
        </w:rPr>
        <w:t>Article 141 </w:t>
      </w:r>
      <w:hyperlink r:id="rId592" w:tooltip="En savoir plus sur l'article 14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l'urbanisme est ainsi modifié :</w:t>
      </w:r>
      <w:r w:rsidRPr="00874A27">
        <w:rPr>
          <w:rFonts w:ascii="Arial" w:eastAsia="Times New Roman" w:hAnsi="Arial" w:cs="Arial"/>
          <w:color w:val="000000"/>
          <w:sz w:val="19"/>
          <w:szCs w:val="19"/>
          <w:lang w:eastAsia="fr-FR"/>
        </w:rPr>
        <w:br/>
        <w:t>1° Au premier alinéa de l'article L. 480-7, les mots : « sa décision d'une astreinte de 7,5 à 75 euros par jour de retard » sont remplacés par les mots et une phrase ainsi rédigée : « son injonction d'une astreinte de 500 € au plus par jour de retard. L'exécution provisoire de l'injonction peut être ordonnée par le tribunal. » ;</w:t>
      </w:r>
      <w:r w:rsidRPr="00874A27">
        <w:rPr>
          <w:rFonts w:ascii="Arial" w:eastAsia="Times New Roman" w:hAnsi="Arial" w:cs="Arial"/>
          <w:color w:val="000000"/>
          <w:sz w:val="19"/>
          <w:szCs w:val="19"/>
          <w:lang w:eastAsia="fr-FR"/>
        </w:rPr>
        <w:br/>
        <w:t>2° A l'article L. 480-8, après les mots : « Les astreintes sont liquidées », sont insérés les mots : « au moins une fois chaque année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41" w:name="JORFARTI000028773198"/>
      <w:bookmarkEnd w:id="141"/>
      <w:r w:rsidRPr="00874A27">
        <w:rPr>
          <w:rFonts w:ascii="Arial" w:eastAsia="Times New Roman" w:hAnsi="Arial" w:cs="Arial"/>
          <w:b/>
          <w:bCs/>
          <w:color w:val="000000"/>
          <w:sz w:val="23"/>
          <w:szCs w:val="23"/>
          <w:lang w:eastAsia="fr-FR"/>
        </w:rPr>
        <w:t>Article 142 </w:t>
      </w:r>
      <w:hyperlink r:id="rId593" w:tooltip="En savoir plus sur l'article 14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xml:space="preserve">La première phrase du premier alinéa de l'article L. 135 B du livre des procédures fiscales est ainsi </w:t>
      </w:r>
      <w:r w:rsidRPr="00874A27">
        <w:rPr>
          <w:rFonts w:ascii="Arial" w:eastAsia="Times New Roman" w:hAnsi="Arial" w:cs="Arial"/>
          <w:color w:val="000000"/>
          <w:sz w:val="19"/>
          <w:szCs w:val="19"/>
          <w:lang w:eastAsia="fr-FR"/>
        </w:rPr>
        <w:lastRenderedPageBreak/>
        <w:t>modifiée :</w:t>
      </w:r>
      <w:r w:rsidRPr="00874A27">
        <w:rPr>
          <w:rFonts w:ascii="Arial" w:eastAsia="Times New Roman" w:hAnsi="Arial" w:cs="Arial"/>
          <w:color w:val="000000"/>
          <w:sz w:val="19"/>
          <w:szCs w:val="19"/>
          <w:lang w:eastAsia="fr-FR"/>
        </w:rPr>
        <w:br/>
        <w:t>1° Les références : « L. 321-1, L. 324-1 et L. 326-1 du </w:t>
      </w:r>
      <w:hyperlink r:id="rId594" w:history="1">
        <w:r w:rsidRPr="00874A27">
          <w:rPr>
            <w:rFonts w:ascii="Arial" w:eastAsia="Times New Roman" w:hAnsi="Arial" w:cs="Arial"/>
            <w:color w:val="336699"/>
            <w:sz w:val="19"/>
            <w:szCs w:val="19"/>
            <w:u w:val="single"/>
            <w:lang w:eastAsia="fr-FR"/>
          </w:rPr>
          <w:t>code de l'urbanisme</w:t>
        </w:r>
      </w:hyperlink>
      <w:r w:rsidRPr="00874A27">
        <w:rPr>
          <w:rFonts w:ascii="Arial" w:eastAsia="Times New Roman" w:hAnsi="Arial" w:cs="Arial"/>
          <w:color w:val="000000"/>
          <w:sz w:val="19"/>
          <w:szCs w:val="19"/>
          <w:lang w:eastAsia="fr-FR"/>
        </w:rPr>
        <w:t>» sont remplacées par les mots : « L. 122-4, L. 321-1, L. 324-1 et L. 326-1 du </w:t>
      </w:r>
      <w:hyperlink r:id="rId595" w:history="1">
        <w:r w:rsidRPr="00874A27">
          <w:rPr>
            <w:rFonts w:ascii="Arial" w:eastAsia="Times New Roman" w:hAnsi="Arial" w:cs="Arial"/>
            <w:color w:val="336699"/>
            <w:sz w:val="19"/>
            <w:szCs w:val="19"/>
            <w:u w:val="single"/>
            <w:lang w:eastAsia="fr-FR"/>
          </w:rPr>
          <w:t>code de l'urbanisme</w:t>
        </w:r>
      </w:hyperlink>
      <w:r w:rsidRPr="00874A27">
        <w:rPr>
          <w:rFonts w:ascii="Arial" w:eastAsia="Times New Roman" w:hAnsi="Arial" w:cs="Arial"/>
          <w:color w:val="000000"/>
          <w:sz w:val="19"/>
          <w:szCs w:val="19"/>
          <w:lang w:eastAsia="fr-FR"/>
        </w:rPr>
        <w:t>, aux agences d'urbanisme mentionnées à l'article L. 121-3 du même code, aux sociétés d'aménagement foncier et d'établissement rural mentionnées à l'</w:t>
      </w:r>
      <w:hyperlink r:id="rId596" w:history="1">
        <w:r w:rsidRPr="00874A27">
          <w:rPr>
            <w:rFonts w:ascii="Arial" w:eastAsia="Times New Roman" w:hAnsi="Arial" w:cs="Arial"/>
            <w:color w:val="336699"/>
            <w:sz w:val="19"/>
            <w:szCs w:val="19"/>
            <w:u w:val="single"/>
            <w:lang w:eastAsia="fr-FR"/>
          </w:rPr>
          <w:t>article L. 141-1 du code rural et de la pêche maritime</w:t>
        </w:r>
      </w:hyperlink>
      <w:r w:rsidRPr="00874A27">
        <w:rPr>
          <w:rFonts w:ascii="Arial" w:eastAsia="Times New Roman" w:hAnsi="Arial" w:cs="Arial"/>
          <w:color w:val="000000"/>
          <w:sz w:val="19"/>
          <w:szCs w:val="19"/>
          <w:lang w:eastAsia="fr-FR"/>
        </w:rPr>
        <w:t>, aux concessionnaires des opérations d'aménagement mentionnés à l'</w:t>
      </w:r>
      <w:hyperlink r:id="rId597" w:history="1">
        <w:r w:rsidRPr="00874A27">
          <w:rPr>
            <w:rFonts w:ascii="Arial" w:eastAsia="Times New Roman" w:hAnsi="Arial" w:cs="Arial"/>
            <w:color w:val="336699"/>
            <w:sz w:val="19"/>
            <w:szCs w:val="19"/>
            <w:u w:val="single"/>
            <w:lang w:eastAsia="fr-FR"/>
          </w:rPr>
          <w:t>article L. 300-4 du code de l'urbanisme</w:t>
        </w:r>
      </w:hyperlink>
      <w:r w:rsidRPr="00874A27">
        <w:rPr>
          <w:rFonts w:ascii="Arial" w:eastAsia="Times New Roman" w:hAnsi="Arial" w:cs="Arial"/>
          <w:color w:val="000000"/>
          <w:sz w:val="19"/>
          <w:szCs w:val="19"/>
          <w:lang w:eastAsia="fr-FR"/>
        </w:rPr>
        <w:t>, aux associations foncières urbaines mentionnées à l'article L. 322-1 du même code et aux observatoires des loyers mentionnés à l'</w:t>
      </w:r>
      <w:hyperlink r:id="rId598" w:history="1">
        <w:r w:rsidRPr="00874A27">
          <w:rPr>
            <w:rFonts w:ascii="Arial" w:eastAsia="Times New Roman" w:hAnsi="Arial" w:cs="Arial"/>
            <w:color w:val="336699"/>
            <w:sz w:val="19"/>
            <w:szCs w:val="19"/>
            <w:u w:val="single"/>
            <w:lang w:eastAsia="fr-FR"/>
          </w:rPr>
          <w:t>article 16 de la loi n° 89-462 du 6 juillet 1989 </w:t>
        </w:r>
      </w:hyperlink>
      <w:r w:rsidRPr="00874A27">
        <w:rPr>
          <w:rFonts w:ascii="Arial" w:eastAsia="Times New Roman" w:hAnsi="Arial" w:cs="Arial"/>
          <w:color w:val="000000"/>
          <w:sz w:val="19"/>
          <w:szCs w:val="19"/>
          <w:lang w:eastAsia="fr-FR"/>
        </w:rPr>
        <w:t>tendant à améliorer les rapports locatifs et portant modification de la </w:t>
      </w:r>
      <w:hyperlink r:id="rId599" w:history="1">
        <w:r w:rsidRPr="00874A27">
          <w:rPr>
            <w:rFonts w:ascii="Arial" w:eastAsia="Times New Roman" w:hAnsi="Arial" w:cs="Arial"/>
            <w:color w:val="336699"/>
            <w:sz w:val="19"/>
            <w:szCs w:val="19"/>
            <w:u w:val="single"/>
            <w:lang w:eastAsia="fr-FR"/>
          </w:rPr>
          <w:t>loi n° 86-1290 du 23 décembre 1986 </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2° A la fin, les mots : « politique foncière et d'aménagement » sont remplacés par les mots : « politiques foncière, d'urbanisme et d'aménagement et de transparence des marchés fonciers et immobiliers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42" w:name="JORFARTI000028773207"/>
      <w:bookmarkEnd w:id="142"/>
      <w:r w:rsidRPr="00874A27">
        <w:rPr>
          <w:rFonts w:ascii="Arial" w:eastAsia="Times New Roman" w:hAnsi="Arial" w:cs="Arial"/>
          <w:b/>
          <w:bCs/>
          <w:color w:val="000000"/>
          <w:sz w:val="23"/>
          <w:szCs w:val="23"/>
          <w:lang w:eastAsia="fr-FR"/>
        </w:rPr>
        <w:t>Article 143 </w:t>
      </w:r>
      <w:hyperlink r:id="rId600" w:tooltip="En savoir plus sur l'article 14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Les deux dernières phrases du huitième alinéa de l'article L. 111-1-4 du code de l'urbanisme sont supprimées.</w:t>
      </w:r>
    </w:p>
    <w:p w:rsidR="00874A27" w:rsidRPr="00874A27" w:rsidRDefault="00874A27" w:rsidP="00874A27">
      <w:pPr>
        <w:numPr>
          <w:ilvl w:val="1"/>
          <w:numId w:val="4"/>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IV : Mesures favorisant le développement de l'offre de construction</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1 : Etablissements publics fonciers d'Etat</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43" w:name="JORFARTI000028774524"/>
      <w:bookmarkEnd w:id="143"/>
      <w:r w:rsidRPr="00874A27">
        <w:rPr>
          <w:rFonts w:ascii="Arial" w:eastAsia="Times New Roman" w:hAnsi="Arial" w:cs="Arial"/>
          <w:b/>
          <w:bCs/>
          <w:color w:val="000000"/>
          <w:sz w:val="23"/>
          <w:szCs w:val="23"/>
          <w:lang w:eastAsia="fr-FR"/>
        </w:rPr>
        <w:t>Article 144 </w:t>
      </w:r>
      <w:hyperlink r:id="rId601" w:tooltip="En savoir plus sur l'article 14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321-1 du code de l'urbanisme est ainsi modifié :</w:t>
      </w:r>
      <w:r w:rsidRPr="00874A27">
        <w:rPr>
          <w:rFonts w:ascii="Arial" w:eastAsia="Times New Roman" w:hAnsi="Arial" w:cs="Arial"/>
          <w:color w:val="000000"/>
          <w:sz w:val="19"/>
          <w:szCs w:val="19"/>
          <w:lang w:eastAsia="fr-FR"/>
        </w:rPr>
        <w:br/>
        <w:t>1° Le premier alinéa est ainsi rédigé :</w:t>
      </w:r>
      <w:r w:rsidRPr="00874A27">
        <w:rPr>
          <w:rFonts w:ascii="Arial" w:eastAsia="Times New Roman" w:hAnsi="Arial" w:cs="Arial"/>
          <w:color w:val="000000"/>
          <w:sz w:val="19"/>
          <w:szCs w:val="19"/>
          <w:lang w:eastAsia="fr-FR"/>
        </w:rPr>
        <w:br/>
        <w:t>« Dans les territoires où les enjeux d'intérêt général en matière d'aménagement et de développement durables le justifient, l'Etat peut créer des établissements publics fonciers. Leur superposition, totale ou partielle, avec des établissements publics fonciers locaux créés avant le 26 juin 2013 est soumise à l'accord des établissements publics de coopération intercommunale à fiscalité propre et des communes non membres de ces derniers dont le territoire est concerné par la superposition. A défaut de décision à l'expiration d'un délai de trois mois à compter de leur saisine, leur accord est réputé acquis. »</w:t>
      </w:r>
      <w:r w:rsidRPr="00874A27">
        <w:rPr>
          <w:rFonts w:ascii="Arial" w:eastAsia="Times New Roman" w:hAnsi="Arial" w:cs="Arial"/>
          <w:color w:val="000000"/>
          <w:sz w:val="19"/>
          <w:szCs w:val="19"/>
          <w:lang w:eastAsia="fr-FR"/>
        </w:rPr>
        <w:br/>
        <w:t>2° La seconde phrase du troisième alinéa est complétée par les mots : « en coopération avec la société d'aménagement foncier et d'établissement rural et les autres organismes chargés de la préservation de ces espaces, dans le cadre de conventions » ;</w:t>
      </w:r>
      <w:r w:rsidRPr="00874A27">
        <w:rPr>
          <w:rFonts w:ascii="Arial" w:eastAsia="Times New Roman" w:hAnsi="Arial" w:cs="Arial"/>
          <w:color w:val="000000"/>
          <w:sz w:val="19"/>
          <w:szCs w:val="19"/>
          <w:lang w:eastAsia="fr-FR"/>
        </w:rPr>
        <w:br/>
        <w:t>3° L'avant-dernier alinéa est complété par les mots : « ou à faire l'objet d'un bail ».</w:t>
      </w:r>
      <w:r w:rsidRPr="00874A27">
        <w:rPr>
          <w:rFonts w:ascii="Arial" w:eastAsia="Times New Roman" w:hAnsi="Arial" w:cs="Arial"/>
          <w:color w:val="000000"/>
          <w:sz w:val="19"/>
          <w:szCs w:val="19"/>
          <w:lang w:eastAsia="fr-FR"/>
        </w:rPr>
        <w:br/>
        <w:t>II. ― Au début de l'article L. 321-2 du même code, sont ajoutés les mots : « Sous réserve de l'accord prévu au premier alinéa de l'article L. 321-1,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44" w:name="JORFARTI000028774531"/>
      <w:bookmarkEnd w:id="144"/>
      <w:r w:rsidRPr="00874A27">
        <w:rPr>
          <w:rFonts w:ascii="Arial" w:eastAsia="Times New Roman" w:hAnsi="Arial" w:cs="Arial"/>
          <w:b/>
          <w:bCs/>
          <w:color w:val="000000"/>
          <w:sz w:val="23"/>
          <w:szCs w:val="23"/>
          <w:lang w:eastAsia="fr-FR"/>
        </w:rPr>
        <w:t>Article 145 </w:t>
      </w:r>
      <w:hyperlink r:id="rId602" w:tooltip="En savoir plus sur l'article 14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Les articles 1608, 1609 et 1609 F du code général des impôts sont abrogés.</w:t>
      </w:r>
      <w:r w:rsidRPr="00874A27">
        <w:rPr>
          <w:rFonts w:ascii="Arial" w:eastAsia="Times New Roman" w:hAnsi="Arial" w:cs="Arial"/>
          <w:color w:val="000000"/>
          <w:sz w:val="19"/>
          <w:szCs w:val="19"/>
          <w:lang w:eastAsia="fr-FR"/>
        </w:rPr>
        <w:br/>
        <w:t>II. ― La seconde phrase du troisième alinéa du II de l'article 1647 B sexies du même code est ainsi modifiée :</w:t>
      </w:r>
      <w:r w:rsidRPr="00874A27">
        <w:rPr>
          <w:rFonts w:ascii="Arial" w:eastAsia="Times New Roman" w:hAnsi="Arial" w:cs="Arial"/>
          <w:color w:val="000000"/>
          <w:sz w:val="19"/>
          <w:szCs w:val="19"/>
          <w:lang w:eastAsia="fr-FR"/>
        </w:rPr>
        <w:br/>
        <w:t>1° La référence : « 1608 » est supprimée ;</w:t>
      </w:r>
      <w:r w:rsidRPr="00874A27">
        <w:rPr>
          <w:rFonts w:ascii="Arial" w:eastAsia="Times New Roman" w:hAnsi="Arial" w:cs="Arial"/>
          <w:color w:val="000000"/>
          <w:sz w:val="19"/>
          <w:szCs w:val="19"/>
          <w:lang w:eastAsia="fr-FR"/>
        </w:rPr>
        <w:br/>
        <w:t>2° Les références : « 1609 à 1609 F » sont remplacées par les références : « 1609 B à 1609 D ».</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2 : Etablissements publics fonciers locaux</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45" w:name="JORFARTI000028774539"/>
      <w:bookmarkEnd w:id="145"/>
      <w:r w:rsidRPr="00874A27">
        <w:rPr>
          <w:rFonts w:ascii="Arial" w:eastAsia="Times New Roman" w:hAnsi="Arial" w:cs="Arial"/>
          <w:b/>
          <w:bCs/>
          <w:color w:val="000000"/>
          <w:sz w:val="23"/>
          <w:szCs w:val="23"/>
          <w:lang w:eastAsia="fr-FR"/>
        </w:rPr>
        <w:t>Article 146 </w:t>
      </w:r>
      <w:hyperlink r:id="rId603" w:tooltip="En savoir plus sur l'article 14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chapitre IV du titre II du livre III du code de l'urbanisme est ainsi modifié :</w:t>
      </w:r>
      <w:r w:rsidRPr="00874A27">
        <w:rPr>
          <w:rFonts w:ascii="Arial" w:eastAsia="Times New Roman" w:hAnsi="Arial" w:cs="Arial"/>
          <w:color w:val="000000"/>
          <w:sz w:val="19"/>
          <w:szCs w:val="19"/>
          <w:lang w:eastAsia="fr-FR"/>
        </w:rPr>
        <w:br/>
        <w:t>1° L'article L. 324-1 est ainsi modifié :</w:t>
      </w:r>
      <w:r w:rsidRPr="00874A27">
        <w:rPr>
          <w:rFonts w:ascii="Arial" w:eastAsia="Times New Roman" w:hAnsi="Arial" w:cs="Arial"/>
          <w:color w:val="000000"/>
          <w:sz w:val="19"/>
          <w:szCs w:val="19"/>
          <w:lang w:eastAsia="fr-FR"/>
        </w:rPr>
        <w:br/>
        <w:t>a) Au début, sont ajoutés trois alinéas ainsi rédigés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Les établissements publics fonciers locaux sont créés en considération d'enjeux d'intérêt général en matière d'aménagement et de développement durables.</w:t>
      </w:r>
      <w:r w:rsidRPr="00874A27">
        <w:rPr>
          <w:rFonts w:ascii="Arial" w:eastAsia="Times New Roman" w:hAnsi="Arial" w:cs="Arial"/>
          <w:color w:val="000000"/>
          <w:sz w:val="19"/>
          <w:szCs w:val="19"/>
          <w:lang w:eastAsia="fr-FR"/>
        </w:rPr>
        <w:br/>
        <w:t>« Ils mettent en place des stratégies foncières afin de mobiliser du foncier et de favoriser le développement durable et la lutte contre l'étalement urbain. Ces stratégies contribuent à la réalisation de logements, notamment de logements sociaux, en tenant compte des priorités définies par les programmes locaux de l'habitat.</w:t>
      </w:r>
      <w:r w:rsidRPr="00874A27">
        <w:rPr>
          <w:rFonts w:ascii="Arial" w:eastAsia="Times New Roman" w:hAnsi="Arial" w:cs="Arial"/>
          <w:color w:val="000000"/>
          <w:sz w:val="19"/>
          <w:szCs w:val="19"/>
          <w:lang w:eastAsia="fr-FR"/>
        </w:rPr>
        <w:br/>
        <w:t>« Dans le cadre de leurs compétences, ils peuvent contribuer au développement des activités économiques, à la politique de protection contre les risques technologiques et naturels ainsi que, à titre subsidiaire, à la préservation des espaces naturels et agricoles en coopération avec la société d'aménagement foncier et d'établissement rural et les autres organismes chargés de la préservation de ces espaces, au travers de conventions. » ;</w:t>
      </w:r>
      <w:r w:rsidRPr="00874A27">
        <w:rPr>
          <w:rFonts w:ascii="Arial" w:eastAsia="Times New Roman" w:hAnsi="Arial" w:cs="Arial"/>
          <w:color w:val="000000"/>
          <w:sz w:val="19"/>
          <w:szCs w:val="19"/>
          <w:lang w:eastAsia="fr-FR"/>
        </w:rPr>
        <w:br/>
        <w:t>b) A la dernière phrase du premier alinéa, après le mot : « procéder, », sont insérés les mots : « en coopération avec la société d'aménagement foncier et d'établissement rural et » ;</w:t>
      </w:r>
      <w:r w:rsidRPr="00874A27">
        <w:rPr>
          <w:rFonts w:ascii="Arial" w:eastAsia="Times New Roman" w:hAnsi="Arial" w:cs="Arial"/>
          <w:color w:val="000000"/>
          <w:sz w:val="19"/>
          <w:szCs w:val="19"/>
          <w:lang w:eastAsia="fr-FR"/>
        </w:rPr>
        <w:br/>
        <w:t>c) Après le deuxième alinéa, il est inséré un alinéa ainsi rédigé :</w:t>
      </w:r>
      <w:r w:rsidRPr="00874A27">
        <w:rPr>
          <w:rFonts w:ascii="Arial" w:eastAsia="Times New Roman" w:hAnsi="Arial" w:cs="Arial"/>
          <w:color w:val="000000"/>
          <w:sz w:val="19"/>
          <w:szCs w:val="19"/>
          <w:lang w:eastAsia="fr-FR"/>
        </w:rPr>
        <w:br/>
        <w:t>« L'exercice du droit de préemption, en application du deuxième alinéa de l'article L. 210-1, s'inscrit dans le cadre de conventions passées avec le représentant de l'Etat dans le département. » ;</w:t>
      </w:r>
      <w:r w:rsidRPr="00874A27">
        <w:rPr>
          <w:rFonts w:ascii="Arial" w:eastAsia="Times New Roman" w:hAnsi="Arial" w:cs="Arial"/>
          <w:color w:val="000000"/>
          <w:sz w:val="19"/>
          <w:szCs w:val="19"/>
          <w:lang w:eastAsia="fr-FR"/>
        </w:rPr>
        <w:br/>
        <w:t>d) Au quatrième alinéa, après le mot : « préemption », sont insérés les mots : « et de priorité » et sont ajoutées deux phrases ainsi rédigées :</w:t>
      </w:r>
      <w:r w:rsidRPr="00874A27">
        <w:rPr>
          <w:rFonts w:ascii="Arial" w:eastAsia="Times New Roman" w:hAnsi="Arial" w:cs="Arial"/>
          <w:color w:val="000000"/>
          <w:sz w:val="19"/>
          <w:szCs w:val="19"/>
          <w:lang w:eastAsia="fr-FR"/>
        </w:rPr>
        <w:br/>
        <w:t>« Ils peuvent agir dans le cadre des emplacements réservés prévus aux articles L. 123-1-5 et L. 123-2. Ils gèrent les procédures de délaissement prévues aux articles L. 230-1 à L. 230-6 à la demande de leurs collectivités. » ;</w:t>
      </w:r>
      <w:r w:rsidRPr="00874A27">
        <w:rPr>
          <w:rFonts w:ascii="Arial" w:eastAsia="Times New Roman" w:hAnsi="Arial" w:cs="Arial"/>
          <w:color w:val="000000"/>
          <w:sz w:val="19"/>
          <w:szCs w:val="19"/>
          <w:lang w:eastAsia="fr-FR"/>
        </w:rPr>
        <w:br/>
        <w:t>e) Au début de la première phrase du dernier alinéa, sont ajoutés les mots : « Sauf convention prévue au sixième alinéa du présent article, » ;</w:t>
      </w:r>
      <w:r w:rsidRPr="00874A27">
        <w:rPr>
          <w:rFonts w:ascii="Arial" w:eastAsia="Times New Roman" w:hAnsi="Arial" w:cs="Arial"/>
          <w:color w:val="000000"/>
          <w:sz w:val="19"/>
          <w:szCs w:val="19"/>
          <w:lang w:eastAsia="fr-FR"/>
        </w:rPr>
        <w:br/>
        <w:t>2° Le premier alinéa de l'article L. 324-2 est ainsi modifié :</w:t>
      </w:r>
      <w:r w:rsidRPr="00874A27">
        <w:rPr>
          <w:rFonts w:ascii="Arial" w:eastAsia="Times New Roman" w:hAnsi="Arial" w:cs="Arial"/>
          <w:color w:val="000000"/>
          <w:sz w:val="19"/>
          <w:szCs w:val="19"/>
          <w:lang w:eastAsia="fr-FR"/>
        </w:rPr>
        <w:br/>
        <w:t>a) A la première phrase, le mot : « préfet » est remplacé par les mots : « représentant de l'Etat dans la région » et les mots : « qui sont compétents en matière de schéma de cohérence territoriale, de réalisation de zones d'aménagement concerté et » sont remplacés par les mots : « dotés de la compétence en matière » ;</w:t>
      </w:r>
      <w:r w:rsidRPr="00874A27">
        <w:rPr>
          <w:rFonts w:ascii="Arial" w:eastAsia="Times New Roman" w:hAnsi="Arial" w:cs="Arial"/>
          <w:color w:val="000000"/>
          <w:sz w:val="19"/>
          <w:szCs w:val="19"/>
          <w:lang w:eastAsia="fr-FR"/>
        </w:rPr>
        <w:br/>
        <w:t>b) La deuxième phrase est ainsi modifiée :</w:t>
      </w:r>
      <w:r w:rsidRPr="00874A27">
        <w:rPr>
          <w:rFonts w:ascii="Arial" w:eastAsia="Times New Roman" w:hAnsi="Arial" w:cs="Arial"/>
          <w:color w:val="000000"/>
          <w:sz w:val="19"/>
          <w:szCs w:val="19"/>
          <w:lang w:eastAsia="fr-FR"/>
        </w:rPr>
        <w:br/>
        <w:t>― le mot : « départements » est remplacé par le mot : « régions » ;</w:t>
      </w:r>
      <w:r w:rsidRPr="00874A27">
        <w:rPr>
          <w:rFonts w:ascii="Arial" w:eastAsia="Times New Roman" w:hAnsi="Arial" w:cs="Arial"/>
          <w:color w:val="000000"/>
          <w:sz w:val="19"/>
          <w:szCs w:val="19"/>
          <w:lang w:eastAsia="fr-FR"/>
        </w:rPr>
        <w:br/>
        <w:t>― le mot : « préfets » est remplacé par les mots : « représentants de l'Etat » ;</w:t>
      </w:r>
      <w:r w:rsidRPr="00874A27">
        <w:rPr>
          <w:rFonts w:ascii="Arial" w:eastAsia="Times New Roman" w:hAnsi="Arial" w:cs="Arial"/>
          <w:color w:val="000000"/>
          <w:sz w:val="19"/>
          <w:szCs w:val="19"/>
          <w:lang w:eastAsia="fr-FR"/>
        </w:rPr>
        <w:br/>
        <w:t>c) Au début de la troisième phrase, les mots : « La région et le département » sont remplacés par les mots : « Chacune de ces régions et chacun de leurs départements » ;</w:t>
      </w:r>
      <w:r w:rsidRPr="00874A27">
        <w:rPr>
          <w:rFonts w:ascii="Arial" w:eastAsia="Times New Roman" w:hAnsi="Arial" w:cs="Arial"/>
          <w:color w:val="000000"/>
          <w:sz w:val="19"/>
          <w:szCs w:val="19"/>
          <w:lang w:eastAsia="fr-FR"/>
        </w:rPr>
        <w:br/>
        <w:t>d) Les deux dernières phrases sont ainsi rédigées :</w:t>
      </w:r>
      <w:r w:rsidRPr="00874A27">
        <w:rPr>
          <w:rFonts w:ascii="Arial" w:eastAsia="Times New Roman" w:hAnsi="Arial" w:cs="Arial"/>
          <w:color w:val="000000"/>
          <w:sz w:val="19"/>
          <w:szCs w:val="19"/>
          <w:lang w:eastAsia="fr-FR"/>
        </w:rPr>
        <w:br/>
        <w:t>« Le représentant de l'Etat dans la région dispose d'un délai de trois mois à compter de la transmission des délibérations pour donner son accord ou motiver son refus. Cette motivation est fondée sur les données locales relatives aux périmètres existants ou proposés d'établissements publics fonciers ou de schémas de cohérence territoriale et à l'évaluation des besoins fonciers correspondant aux enjeux territoriaux en matière d'urbanisme, d'habitat, de développement économique, de déplacements et d'environnement. » ;</w:t>
      </w:r>
      <w:r w:rsidRPr="00874A27">
        <w:rPr>
          <w:rFonts w:ascii="Arial" w:eastAsia="Times New Roman" w:hAnsi="Arial" w:cs="Arial"/>
          <w:color w:val="000000"/>
          <w:sz w:val="19"/>
          <w:szCs w:val="19"/>
          <w:lang w:eastAsia="fr-FR"/>
        </w:rPr>
        <w:br/>
        <w:t>3° Après l'article L. 324-2-1, il est inséré un article L. 324-2-2 ainsi rédigé :</w:t>
      </w:r>
      <w:r w:rsidRPr="00874A27">
        <w:rPr>
          <w:rFonts w:ascii="Arial" w:eastAsia="Times New Roman" w:hAnsi="Arial" w:cs="Arial"/>
          <w:color w:val="000000"/>
          <w:sz w:val="19"/>
          <w:szCs w:val="19"/>
          <w:lang w:eastAsia="fr-FR"/>
        </w:rPr>
        <w:br/>
        <w:t>« Art. L. 324-2-2. - I. ― L'établissement public foncier élabore un programme pluriannuel d'intervention qui :</w:t>
      </w:r>
      <w:r w:rsidRPr="00874A27">
        <w:rPr>
          <w:rFonts w:ascii="Arial" w:eastAsia="Times New Roman" w:hAnsi="Arial" w:cs="Arial"/>
          <w:color w:val="000000"/>
          <w:sz w:val="19"/>
          <w:szCs w:val="19"/>
          <w:lang w:eastAsia="fr-FR"/>
        </w:rPr>
        <w:br/>
        <w:t>« 1° Définit ses actions, leurs modalités et les moyens mis en œuvre ;</w:t>
      </w:r>
      <w:r w:rsidRPr="00874A27">
        <w:rPr>
          <w:rFonts w:ascii="Arial" w:eastAsia="Times New Roman" w:hAnsi="Arial" w:cs="Arial"/>
          <w:color w:val="000000"/>
          <w:sz w:val="19"/>
          <w:szCs w:val="19"/>
          <w:lang w:eastAsia="fr-FR"/>
        </w:rPr>
        <w:br/>
        <w:t>« 2° Précise les conditions de cession du foncier propres à garantir un usage conforme aux missions de l'établissement.</w:t>
      </w:r>
      <w:r w:rsidRPr="00874A27">
        <w:rPr>
          <w:rFonts w:ascii="Arial" w:eastAsia="Times New Roman" w:hAnsi="Arial" w:cs="Arial"/>
          <w:color w:val="000000"/>
          <w:sz w:val="19"/>
          <w:szCs w:val="19"/>
          <w:lang w:eastAsia="fr-FR"/>
        </w:rPr>
        <w:br/>
        <w:t>« II. ― Le programme pluriannuel d'intervention tient compte des priorités énoncées dans les documents d'urbanisme ainsi que des objectifs de réalisation de logements précisés par les programmes locaux de l'habitat.</w:t>
      </w:r>
      <w:r w:rsidRPr="00874A27">
        <w:rPr>
          <w:rFonts w:ascii="Arial" w:eastAsia="Times New Roman" w:hAnsi="Arial" w:cs="Arial"/>
          <w:color w:val="000000"/>
          <w:sz w:val="19"/>
          <w:szCs w:val="19"/>
          <w:lang w:eastAsia="fr-FR"/>
        </w:rPr>
        <w:br/>
        <w:t>« Ce programme est transmis au préfet de région. » ;</w:t>
      </w:r>
      <w:r w:rsidRPr="00874A27">
        <w:rPr>
          <w:rFonts w:ascii="Arial" w:eastAsia="Times New Roman" w:hAnsi="Arial" w:cs="Arial"/>
          <w:color w:val="000000"/>
          <w:sz w:val="19"/>
          <w:szCs w:val="19"/>
          <w:lang w:eastAsia="fr-FR"/>
        </w:rPr>
        <w:br/>
        <w:t>4° Le 1° de l'article L. 324-5 est ainsi modifié :</w:t>
      </w:r>
      <w:r w:rsidRPr="00874A27">
        <w:rPr>
          <w:rFonts w:ascii="Arial" w:eastAsia="Times New Roman" w:hAnsi="Arial" w:cs="Arial"/>
          <w:color w:val="000000"/>
          <w:sz w:val="19"/>
          <w:szCs w:val="19"/>
          <w:lang w:eastAsia="fr-FR"/>
        </w:rPr>
        <w:br/>
        <w:t>a) Les mots : « et fixe » sont remplacés par le mot : « , approuve » ;</w:t>
      </w:r>
      <w:r w:rsidRPr="00874A27">
        <w:rPr>
          <w:rFonts w:ascii="Arial" w:eastAsia="Times New Roman" w:hAnsi="Arial" w:cs="Arial"/>
          <w:color w:val="000000"/>
          <w:sz w:val="19"/>
          <w:szCs w:val="19"/>
          <w:lang w:eastAsia="fr-FR"/>
        </w:rPr>
        <w:br/>
        <w:t>b) Sont ajoutés les mots : « et procède à leur révision » ;</w:t>
      </w:r>
      <w:r w:rsidRPr="00874A27">
        <w:rPr>
          <w:rFonts w:ascii="Arial" w:eastAsia="Times New Roman" w:hAnsi="Arial" w:cs="Arial"/>
          <w:color w:val="000000"/>
          <w:sz w:val="19"/>
          <w:szCs w:val="19"/>
          <w:lang w:eastAsia="fr-FR"/>
        </w:rPr>
        <w:br/>
        <w:t>5° L'article L. 324-10 est abrogé.</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46" w:name="JORFARTI000028774559"/>
      <w:bookmarkEnd w:id="146"/>
      <w:r w:rsidRPr="00874A27">
        <w:rPr>
          <w:rFonts w:ascii="Arial" w:eastAsia="Times New Roman" w:hAnsi="Arial" w:cs="Arial"/>
          <w:b/>
          <w:bCs/>
          <w:color w:val="000000"/>
          <w:sz w:val="23"/>
          <w:szCs w:val="23"/>
          <w:lang w:eastAsia="fr-FR"/>
        </w:rPr>
        <w:t>Article 147 </w:t>
      </w:r>
      <w:hyperlink r:id="rId604" w:tooltip="En savoir plus sur l'article 14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230-3 du même code est complété par un alinéa ainsi rédigé :</w:t>
      </w:r>
      <w:r w:rsidRPr="00874A27">
        <w:rPr>
          <w:rFonts w:ascii="Arial" w:eastAsia="Times New Roman" w:hAnsi="Arial" w:cs="Arial"/>
          <w:color w:val="000000"/>
          <w:sz w:val="19"/>
          <w:szCs w:val="19"/>
          <w:lang w:eastAsia="fr-FR"/>
        </w:rPr>
        <w:br/>
        <w:t>« L'acquisition d'un terrain situé en emplacement réservé peut, avec l'accord de la personne publique au bénéfice de laquelle la réserve est inscrite au plan, être réalisée par une autre personne publique ou le titulaire d'une concession d'aménagement, la destination de l'emplacement réservé restant inchangée.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47" w:name="JORFARTI000028774562"/>
      <w:bookmarkEnd w:id="147"/>
      <w:r w:rsidRPr="00874A27">
        <w:rPr>
          <w:rFonts w:ascii="Arial" w:eastAsia="Times New Roman" w:hAnsi="Arial" w:cs="Arial"/>
          <w:b/>
          <w:bCs/>
          <w:color w:val="000000"/>
          <w:sz w:val="23"/>
          <w:szCs w:val="23"/>
          <w:lang w:eastAsia="fr-FR"/>
        </w:rPr>
        <w:lastRenderedPageBreak/>
        <w:t>Article 148 </w:t>
      </w:r>
      <w:hyperlink r:id="rId605" w:tooltip="En savoir plus sur l'article 14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Il est mis fin à l'établissement public foncier de Corse.</w:t>
      </w:r>
      <w:r w:rsidRPr="00874A27">
        <w:rPr>
          <w:rFonts w:ascii="Arial" w:eastAsia="Times New Roman" w:hAnsi="Arial" w:cs="Arial"/>
          <w:color w:val="000000"/>
          <w:sz w:val="19"/>
          <w:szCs w:val="19"/>
          <w:lang w:eastAsia="fr-FR"/>
        </w:rPr>
        <w:br/>
        <w:t>II. ― La section 2 du chapitre IV du titre II du livre IV de la quatrième partie du code général des collectivités territoriales est complétée par une sous-section 4 ainsi rédigée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Sous-section 4</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Foncier</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4424-26-1. - Sous la forme d'un établissement public de la collectivité territoriale de Corse à caractère industriel et commercial, l'office foncier de la Corse, sur lequel la collectivité exerce son pouvoir de tutelle, a les missions ci-après définies.</w:t>
      </w:r>
      <w:r w:rsidRPr="00874A27">
        <w:rPr>
          <w:rFonts w:ascii="Arial" w:eastAsia="Times New Roman" w:hAnsi="Arial" w:cs="Arial"/>
          <w:color w:val="000000"/>
          <w:sz w:val="19"/>
          <w:szCs w:val="19"/>
          <w:lang w:eastAsia="fr-FR"/>
        </w:rPr>
        <w:br/>
        <w:t>« Cet établissement met en place les stratégies foncières afin de mobiliser du foncier et de favoriser le développement durable et la lutte contre l'étalement urbain. Ces stratégies contribuent à la réalisation de logements, notamment de logements sociaux, en tenant compte des priorités définies par les programmes locaux de l'habitat et la politique régionale du foncier et de l'habitat de la collectivité territoriale de Corse. L'office peut contribuer au développement des activités économiques, à la politique de protection contre les risques technologiques et naturels ainsi que, à titre subsidiaire, à la préservation des espaces naturels et agricoles, en coopération avec la société d'aménagement foncier et d'établissement rural et les autres organismes chargés de la préservation de ces espaces dans le cadre de conventions.</w:t>
      </w:r>
      <w:r w:rsidRPr="00874A27">
        <w:rPr>
          <w:rFonts w:ascii="Arial" w:eastAsia="Times New Roman" w:hAnsi="Arial" w:cs="Arial"/>
          <w:color w:val="000000"/>
          <w:sz w:val="19"/>
          <w:szCs w:val="19"/>
          <w:lang w:eastAsia="fr-FR"/>
        </w:rPr>
        <w:br/>
        <w:t>« Art. L. 4424-26-2. - Pour la mise en œuvre des missions prévues au second alinéa de l'article L. 4424-26-1, l'office est compétent pour réaliser, pour le compte de la collectivité territoriale de Corse ou de toute personne publique, toutes acquisitions foncières ou immobilières en vue de la constitution de réserves foncières en application des articles </w:t>
      </w:r>
      <w:hyperlink r:id="rId606" w:history="1">
        <w:r w:rsidRPr="00874A27">
          <w:rPr>
            <w:rFonts w:ascii="Arial" w:eastAsia="Times New Roman" w:hAnsi="Arial" w:cs="Arial"/>
            <w:color w:val="336699"/>
            <w:sz w:val="19"/>
            <w:szCs w:val="19"/>
            <w:u w:val="single"/>
            <w:lang w:eastAsia="fr-FR"/>
          </w:rPr>
          <w:t>L. 221-1</w:t>
        </w:r>
      </w:hyperlink>
      <w:r w:rsidRPr="00874A27">
        <w:rPr>
          <w:rFonts w:ascii="Arial" w:eastAsia="Times New Roman" w:hAnsi="Arial" w:cs="Arial"/>
          <w:color w:val="000000"/>
          <w:sz w:val="19"/>
          <w:szCs w:val="19"/>
          <w:lang w:eastAsia="fr-FR"/>
        </w:rPr>
        <w:t> et </w:t>
      </w:r>
      <w:hyperlink r:id="rId607" w:history="1">
        <w:r w:rsidRPr="00874A27">
          <w:rPr>
            <w:rFonts w:ascii="Arial" w:eastAsia="Times New Roman" w:hAnsi="Arial" w:cs="Arial"/>
            <w:color w:val="336699"/>
            <w:sz w:val="19"/>
            <w:szCs w:val="19"/>
            <w:u w:val="single"/>
            <w:lang w:eastAsia="fr-FR"/>
          </w:rPr>
          <w:t>L. 221-2</w:t>
        </w:r>
      </w:hyperlink>
      <w:r w:rsidRPr="00874A27">
        <w:rPr>
          <w:rFonts w:ascii="Arial" w:eastAsia="Times New Roman" w:hAnsi="Arial" w:cs="Arial"/>
          <w:color w:val="000000"/>
          <w:sz w:val="19"/>
          <w:szCs w:val="19"/>
          <w:lang w:eastAsia="fr-FR"/>
        </w:rPr>
        <w:t> du code de l'urbanisme ou de la réalisation d'actions ou d'opérations d'aménagement au sens de l'article L. 300-1 du même code. Il est, en outre, compétent pour réaliser ou faire réaliser toutes les actions de nature à faciliter l'utilisation et l'aménagement ultérieur, au sens du même article, des biens fonciers ou immobiliers acquis.</w:t>
      </w:r>
      <w:r w:rsidRPr="00874A27">
        <w:rPr>
          <w:rFonts w:ascii="Arial" w:eastAsia="Times New Roman" w:hAnsi="Arial" w:cs="Arial"/>
          <w:color w:val="000000"/>
          <w:sz w:val="19"/>
          <w:szCs w:val="19"/>
          <w:lang w:eastAsia="fr-FR"/>
        </w:rPr>
        <w:br/>
        <w:t>« Les biens acquis par l'établissement ont vocation à être cédés ou à faire l'objet d'un bail.</w:t>
      </w:r>
      <w:r w:rsidRPr="00874A27">
        <w:rPr>
          <w:rFonts w:ascii="Arial" w:eastAsia="Times New Roman" w:hAnsi="Arial" w:cs="Arial"/>
          <w:color w:val="000000"/>
          <w:sz w:val="19"/>
          <w:szCs w:val="19"/>
          <w:lang w:eastAsia="fr-FR"/>
        </w:rPr>
        <w:br/>
        <w:t>« Les acquisitions et cessions foncières et immobilières réalisées par l'établissement pour le compte de la collectivité territoriale de Corse ou d'une autre personne publique sont soumises aux dispositions relatives à la transparence des opérations immobilières de ces collectivités.</w:t>
      </w:r>
      <w:r w:rsidRPr="00874A27">
        <w:rPr>
          <w:rFonts w:ascii="Arial" w:eastAsia="Times New Roman" w:hAnsi="Arial" w:cs="Arial"/>
          <w:color w:val="000000"/>
          <w:sz w:val="19"/>
          <w:szCs w:val="19"/>
          <w:lang w:eastAsia="fr-FR"/>
        </w:rPr>
        <w:br/>
        <w:t>« L'office peut exercer, pour la réalisation de ses missions et par délégation de leurs titulaires, les droits de préemption et de priorités définis, dans les cas et conditions prévus par le </w:t>
      </w:r>
      <w:hyperlink r:id="rId608" w:history="1">
        <w:r w:rsidRPr="00874A27">
          <w:rPr>
            <w:rFonts w:ascii="Arial" w:eastAsia="Times New Roman" w:hAnsi="Arial" w:cs="Arial"/>
            <w:color w:val="336699"/>
            <w:sz w:val="19"/>
            <w:szCs w:val="19"/>
            <w:u w:val="single"/>
            <w:lang w:eastAsia="fr-FR"/>
          </w:rPr>
          <w:t>code de l'urbanisme</w:t>
        </w:r>
      </w:hyperlink>
      <w:r w:rsidRPr="00874A27">
        <w:rPr>
          <w:rFonts w:ascii="Arial" w:eastAsia="Times New Roman" w:hAnsi="Arial" w:cs="Arial"/>
          <w:color w:val="000000"/>
          <w:sz w:val="19"/>
          <w:szCs w:val="19"/>
          <w:lang w:eastAsia="fr-FR"/>
        </w:rPr>
        <w:t> ainsi qu'au </w:t>
      </w:r>
      <w:hyperlink r:id="rId609" w:history="1">
        <w:r w:rsidRPr="00874A27">
          <w:rPr>
            <w:rFonts w:ascii="Arial" w:eastAsia="Times New Roman" w:hAnsi="Arial" w:cs="Arial"/>
            <w:color w:val="336699"/>
            <w:sz w:val="19"/>
            <w:szCs w:val="19"/>
            <w:u w:val="single"/>
            <w:lang w:eastAsia="fr-FR"/>
          </w:rPr>
          <w:t>9° de l'article L. 143-2 du code rural et de la pêche maritime</w:t>
        </w:r>
      </w:hyperlink>
      <w:r w:rsidRPr="00874A27">
        <w:rPr>
          <w:rFonts w:ascii="Arial" w:eastAsia="Times New Roman" w:hAnsi="Arial" w:cs="Arial"/>
          <w:color w:val="000000"/>
          <w:sz w:val="19"/>
          <w:szCs w:val="19"/>
          <w:lang w:eastAsia="fr-FR"/>
        </w:rPr>
        <w:t> et agir par voie d'expropriation.</w:t>
      </w:r>
      <w:r w:rsidRPr="00874A27">
        <w:rPr>
          <w:rFonts w:ascii="Arial" w:eastAsia="Times New Roman" w:hAnsi="Arial" w:cs="Arial"/>
          <w:color w:val="000000"/>
          <w:sz w:val="19"/>
          <w:szCs w:val="19"/>
          <w:lang w:eastAsia="fr-FR"/>
        </w:rPr>
        <w:br/>
        <w:t>« L'action de l'office pour le compte des personnes publiques autres que la collectivité territoriale de Corse s'inscrit dans le cadre de conventions.</w:t>
      </w:r>
      <w:r w:rsidRPr="00874A27">
        <w:rPr>
          <w:rFonts w:ascii="Arial" w:eastAsia="Times New Roman" w:hAnsi="Arial" w:cs="Arial"/>
          <w:color w:val="000000"/>
          <w:sz w:val="19"/>
          <w:szCs w:val="19"/>
          <w:lang w:eastAsia="fr-FR"/>
        </w:rPr>
        <w:br/>
        <w:t>« Art. L. 4424-26-3. - Pour la mise en œuvre des missions prévues au premier alinéa de l'article L. 4424-26-2, l'office élabore un programme pluriannuel d'interventions qui :</w:t>
      </w:r>
      <w:r w:rsidRPr="00874A27">
        <w:rPr>
          <w:rFonts w:ascii="Arial" w:eastAsia="Times New Roman" w:hAnsi="Arial" w:cs="Arial"/>
          <w:color w:val="000000"/>
          <w:sz w:val="19"/>
          <w:szCs w:val="19"/>
          <w:lang w:eastAsia="fr-FR"/>
        </w:rPr>
        <w:br/>
        <w:t>« ― définit ses actions, leurs modalités et les moyens mis en œuvre ;</w:t>
      </w:r>
      <w:r w:rsidRPr="00874A27">
        <w:rPr>
          <w:rFonts w:ascii="Arial" w:eastAsia="Times New Roman" w:hAnsi="Arial" w:cs="Arial"/>
          <w:color w:val="000000"/>
          <w:sz w:val="19"/>
          <w:szCs w:val="19"/>
          <w:lang w:eastAsia="fr-FR"/>
        </w:rPr>
        <w:br/>
        <w:t>« ― précise les conditions de cession du foncier, propres à garantir un usage conforme aux missions de l'établissement.</w:t>
      </w:r>
      <w:r w:rsidRPr="00874A27">
        <w:rPr>
          <w:rFonts w:ascii="Arial" w:eastAsia="Times New Roman" w:hAnsi="Arial" w:cs="Arial"/>
          <w:color w:val="000000"/>
          <w:sz w:val="19"/>
          <w:szCs w:val="19"/>
          <w:lang w:eastAsia="fr-FR"/>
        </w:rPr>
        <w:br/>
        <w:t>« Le programme pluriannuel d'intervention tient compte des priorités énoncées dans les documents d'urbanisme et notamment le plan d'aménagement et de développement durables de la Corse ainsi que des objectifs de réalisation de logements précisés par les programmes locaux de l'habitat. Il est approuvé par le conseil d'administration qui procède à sa révision dans un délai de cinq ans. Il est transmis au représentant de l'Etat.</w:t>
      </w:r>
      <w:r w:rsidRPr="00874A27">
        <w:rPr>
          <w:rFonts w:ascii="Arial" w:eastAsia="Times New Roman" w:hAnsi="Arial" w:cs="Arial"/>
          <w:color w:val="000000"/>
          <w:sz w:val="19"/>
          <w:szCs w:val="19"/>
          <w:lang w:eastAsia="fr-FR"/>
        </w:rPr>
        <w:br/>
        <w:t>« Art. L. 4424-26-4. - L'office, dont les statuts sont adoptés par l'Assemblée de Corse, est administré par un conseil d'administration présidé par un conseiller exécutif désigné par le président du conseil exécutif. Son conseil d'administration est composé à titre majoritaire de représentants élus de l'Assemblée de Corse. Il est en outre composé de membres représentants d'autres collectivités territoriales et des établissements publics de coopération intercommunale à fiscalité propre.</w:t>
      </w:r>
      <w:r w:rsidRPr="00874A27">
        <w:rPr>
          <w:rFonts w:ascii="Arial" w:eastAsia="Times New Roman" w:hAnsi="Arial" w:cs="Arial"/>
          <w:color w:val="000000"/>
          <w:sz w:val="19"/>
          <w:szCs w:val="19"/>
          <w:lang w:eastAsia="fr-FR"/>
        </w:rPr>
        <w:br/>
        <w:t>« Les statuts peuvent prévoir la participation d'autres personnes aux réunions du conseil d'administration.</w:t>
      </w:r>
      <w:r w:rsidRPr="00874A27">
        <w:rPr>
          <w:rFonts w:ascii="Arial" w:eastAsia="Times New Roman" w:hAnsi="Arial" w:cs="Arial"/>
          <w:color w:val="000000"/>
          <w:sz w:val="19"/>
          <w:szCs w:val="19"/>
          <w:lang w:eastAsia="fr-FR"/>
        </w:rPr>
        <w:br/>
        <w:t>« Les statuts fixent notamment le nombre et les modalités de désignation des membres du conseil d'administration.</w:t>
      </w:r>
      <w:r w:rsidRPr="00874A27">
        <w:rPr>
          <w:rFonts w:ascii="Arial" w:eastAsia="Times New Roman" w:hAnsi="Arial" w:cs="Arial"/>
          <w:color w:val="000000"/>
          <w:sz w:val="19"/>
          <w:szCs w:val="19"/>
          <w:lang w:eastAsia="fr-FR"/>
        </w:rPr>
        <w:br/>
        <w:t>« Les actes et délibérations de l'établissement public sont soumis au contrôle de légalité prévu par les articles L. 2131-1 à L. 2131-11 du présent code.</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Le directeur général, nommé sur proposition du président de l'établissement par arrêté délibéré en conseil exécutif, est chargé de l'administration de l'établissement.</w:t>
      </w:r>
      <w:r w:rsidRPr="00874A27">
        <w:rPr>
          <w:rFonts w:ascii="Arial" w:eastAsia="Times New Roman" w:hAnsi="Arial" w:cs="Arial"/>
          <w:color w:val="000000"/>
          <w:sz w:val="19"/>
          <w:szCs w:val="19"/>
          <w:lang w:eastAsia="fr-FR"/>
        </w:rPr>
        <w:br/>
        <w:t>« Art. L. 4424-26-5. - Les recettes de l'office comprennent notamment :</w:t>
      </w:r>
      <w:r w:rsidRPr="00874A27">
        <w:rPr>
          <w:rFonts w:ascii="Arial" w:eastAsia="Times New Roman" w:hAnsi="Arial" w:cs="Arial"/>
          <w:color w:val="000000"/>
          <w:sz w:val="19"/>
          <w:szCs w:val="19"/>
          <w:lang w:eastAsia="fr-FR"/>
        </w:rPr>
        <w:br/>
        <w:t>« 1° Le produit de la taxe spéciale d'équipement arrêtée dans les conditions prévues à l'</w:t>
      </w:r>
      <w:hyperlink r:id="rId610" w:history="1">
        <w:r w:rsidRPr="00874A27">
          <w:rPr>
            <w:rFonts w:ascii="Arial" w:eastAsia="Times New Roman" w:hAnsi="Arial" w:cs="Arial"/>
            <w:color w:val="336699"/>
            <w:sz w:val="19"/>
            <w:szCs w:val="19"/>
            <w:u w:val="single"/>
            <w:lang w:eastAsia="fr-FR"/>
          </w:rPr>
          <w:t>article 1607 bis du code général des impôts</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 2° Les contributions, notamment les dotations, subventions, avances, fonds de concours ou participations, garanties financières qui lui sont accordées par l'Union européenne, l'Etat, les collectivités territoriales et les sociétés nationales, établissements publics ainsi que toutes autres personnes morales publiques ou privées intéressées ;</w:t>
      </w:r>
      <w:r w:rsidRPr="00874A27">
        <w:rPr>
          <w:rFonts w:ascii="Arial" w:eastAsia="Times New Roman" w:hAnsi="Arial" w:cs="Arial"/>
          <w:color w:val="000000"/>
          <w:sz w:val="19"/>
          <w:szCs w:val="19"/>
          <w:lang w:eastAsia="fr-FR"/>
        </w:rPr>
        <w:br/>
        <w:t>« 3° Le produit des emprunts ;</w:t>
      </w:r>
      <w:r w:rsidRPr="00874A27">
        <w:rPr>
          <w:rFonts w:ascii="Arial" w:eastAsia="Times New Roman" w:hAnsi="Arial" w:cs="Arial"/>
          <w:color w:val="000000"/>
          <w:sz w:val="19"/>
          <w:szCs w:val="19"/>
          <w:lang w:eastAsia="fr-FR"/>
        </w:rPr>
        <w:br/>
        <w:t>« 4° Les rémunérations de ses prestations de services et les remboursements d'avances et de préfinancements divers consentis par l'office ;</w:t>
      </w:r>
      <w:r w:rsidRPr="00874A27">
        <w:rPr>
          <w:rFonts w:ascii="Arial" w:eastAsia="Times New Roman" w:hAnsi="Arial" w:cs="Arial"/>
          <w:color w:val="000000"/>
          <w:sz w:val="19"/>
          <w:szCs w:val="19"/>
          <w:lang w:eastAsia="fr-FR"/>
        </w:rPr>
        <w:br/>
        <w:t>« 5° Les produits de la vente des biens et droits mobiliers et immobiliers ;</w:t>
      </w:r>
      <w:r w:rsidRPr="00874A27">
        <w:rPr>
          <w:rFonts w:ascii="Arial" w:eastAsia="Times New Roman" w:hAnsi="Arial" w:cs="Arial"/>
          <w:color w:val="000000"/>
          <w:sz w:val="19"/>
          <w:szCs w:val="19"/>
          <w:lang w:eastAsia="fr-FR"/>
        </w:rPr>
        <w:br/>
        <w:t>« 6° Les revenus nets de ses biens meubles et immeubles ;</w:t>
      </w:r>
      <w:r w:rsidRPr="00874A27">
        <w:rPr>
          <w:rFonts w:ascii="Arial" w:eastAsia="Times New Roman" w:hAnsi="Arial" w:cs="Arial"/>
          <w:color w:val="000000"/>
          <w:sz w:val="19"/>
          <w:szCs w:val="19"/>
          <w:lang w:eastAsia="fr-FR"/>
        </w:rPr>
        <w:br/>
        <w:t>« 7° Le produit des dons et legs ;</w:t>
      </w:r>
      <w:r w:rsidRPr="00874A27">
        <w:rPr>
          <w:rFonts w:ascii="Arial" w:eastAsia="Times New Roman" w:hAnsi="Arial" w:cs="Arial"/>
          <w:color w:val="000000"/>
          <w:sz w:val="19"/>
          <w:szCs w:val="19"/>
          <w:lang w:eastAsia="fr-FR"/>
        </w:rPr>
        <w:br/>
        <w:t>« 8° Les subventions obtenues en lieu et place des collectivités territoriales, établissements publics et sociétés intéressés en exécution des conventions passées avec ceux-ci. »</w:t>
      </w:r>
      <w:r w:rsidRPr="00874A27">
        <w:rPr>
          <w:rFonts w:ascii="Arial" w:eastAsia="Times New Roman" w:hAnsi="Arial" w:cs="Arial"/>
          <w:color w:val="000000"/>
          <w:sz w:val="19"/>
          <w:szCs w:val="19"/>
          <w:lang w:eastAsia="fr-FR"/>
        </w:rPr>
        <w:br/>
        <w:t>III. ― L'article 1607 bis du code général des impôts est ainsi modifié :</w:t>
      </w:r>
      <w:r w:rsidRPr="00874A27">
        <w:rPr>
          <w:rFonts w:ascii="Arial" w:eastAsia="Times New Roman" w:hAnsi="Arial" w:cs="Arial"/>
          <w:color w:val="000000"/>
          <w:sz w:val="19"/>
          <w:szCs w:val="19"/>
          <w:lang w:eastAsia="fr-FR"/>
        </w:rPr>
        <w:br/>
        <w:t>1° Au premier alinéa, après les mots : « code de l'urbanisme », sont insérés les mots : « ou de l'office foncier de Corse, établissement public de la collectivité territoriale de Corse créé par la </w:t>
      </w:r>
      <w:hyperlink r:id="rId611" w:history="1">
        <w:r w:rsidRPr="00874A27">
          <w:rPr>
            <w:rFonts w:ascii="Arial" w:eastAsia="Times New Roman" w:hAnsi="Arial" w:cs="Arial"/>
            <w:color w:val="336699"/>
            <w:sz w:val="19"/>
            <w:szCs w:val="19"/>
            <w:u w:val="single"/>
            <w:lang w:eastAsia="fr-FR"/>
          </w:rPr>
          <w:t>loi n° 2014-366 du 24 mars 2014</w:t>
        </w:r>
      </w:hyperlink>
      <w:r w:rsidRPr="00874A27">
        <w:rPr>
          <w:rFonts w:ascii="Arial" w:eastAsia="Times New Roman" w:hAnsi="Arial" w:cs="Arial"/>
          <w:color w:val="000000"/>
          <w:sz w:val="19"/>
          <w:szCs w:val="19"/>
          <w:lang w:eastAsia="fr-FR"/>
        </w:rPr>
        <w:t> pour l'accès au logement et un urbanisme rénové » ;</w:t>
      </w:r>
      <w:r w:rsidRPr="00874A27">
        <w:rPr>
          <w:rFonts w:ascii="Arial" w:eastAsia="Times New Roman" w:hAnsi="Arial" w:cs="Arial"/>
          <w:color w:val="000000"/>
          <w:sz w:val="19"/>
          <w:szCs w:val="19"/>
          <w:lang w:eastAsia="fr-FR"/>
        </w:rPr>
        <w:br/>
        <w:t>2° A la première phrase du deuxième alinéa, après le mot : « local », sont insérés les mots : « ou l'office foncier de Corse ».</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3 : Droit de préemption</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48" w:name="JORFARTI000028774579"/>
      <w:bookmarkEnd w:id="148"/>
      <w:r w:rsidRPr="00874A27">
        <w:rPr>
          <w:rFonts w:ascii="Arial" w:eastAsia="Times New Roman" w:hAnsi="Arial" w:cs="Arial"/>
          <w:b/>
          <w:bCs/>
          <w:color w:val="000000"/>
          <w:sz w:val="23"/>
          <w:szCs w:val="23"/>
          <w:lang w:eastAsia="fr-FR"/>
        </w:rPr>
        <w:t>Article 149 </w:t>
      </w:r>
      <w:hyperlink r:id="rId612" w:tooltip="En savoir plus sur l'article 14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titre Ier du livre II du code de l'urbanisme est ainsi modifié :</w:t>
      </w:r>
      <w:r w:rsidRPr="00874A27">
        <w:rPr>
          <w:rFonts w:ascii="Arial" w:eastAsia="Times New Roman" w:hAnsi="Arial" w:cs="Arial"/>
          <w:color w:val="000000"/>
          <w:sz w:val="19"/>
          <w:szCs w:val="19"/>
          <w:lang w:eastAsia="fr-FR"/>
        </w:rPr>
        <w:br/>
        <w:t>1° Le deuxième alinéa de l'article L. 210-1 est ainsi modifié :</w:t>
      </w:r>
      <w:r w:rsidRPr="00874A27">
        <w:rPr>
          <w:rFonts w:ascii="Arial" w:eastAsia="Times New Roman" w:hAnsi="Arial" w:cs="Arial"/>
          <w:color w:val="000000"/>
          <w:sz w:val="19"/>
          <w:szCs w:val="19"/>
          <w:lang w:eastAsia="fr-FR"/>
        </w:rPr>
        <w:br/>
        <w:t>a) A la première phrase, les mots : « un terrain, bâti ou non bâti » sont remplacés par les mots : « un des biens ou droits énumérés aux 1° à 4° de l'article L. 213-1 du présent code » ;</w:t>
      </w:r>
      <w:r w:rsidRPr="00874A27">
        <w:rPr>
          <w:rFonts w:ascii="Arial" w:eastAsia="Times New Roman" w:hAnsi="Arial" w:cs="Arial"/>
          <w:color w:val="000000"/>
          <w:sz w:val="19"/>
          <w:szCs w:val="19"/>
          <w:lang w:eastAsia="fr-FR"/>
        </w:rPr>
        <w:br/>
        <w:t>b) A la deuxième phrase, la seconde occurrence du mot : « ou » est remplacée par le signe : « , » et sont ajoutés les mots : « ou à un des organismes agréés mentionnés à l'article L. 365-2 du même code » ;</w:t>
      </w:r>
      <w:r w:rsidRPr="00874A27">
        <w:rPr>
          <w:rFonts w:ascii="Arial" w:eastAsia="Times New Roman" w:hAnsi="Arial" w:cs="Arial"/>
          <w:color w:val="000000"/>
          <w:sz w:val="19"/>
          <w:szCs w:val="19"/>
          <w:lang w:eastAsia="fr-FR"/>
        </w:rPr>
        <w:br/>
        <w:t>2° Le second alinéa de l'article L. 211-2 est ainsi rédigé :</w:t>
      </w:r>
      <w:r w:rsidRPr="00874A27">
        <w:rPr>
          <w:rFonts w:ascii="Arial" w:eastAsia="Times New Roman" w:hAnsi="Arial" w:cs="Arial"/>
          <w:color w:val="000000"/>
          <w:sz w:val="19"/>
          <w:szCs w:val="19"/>
          <w:lang w:eastAsia="fr-FR"/>
        </w:rPr>
        <w:br/>
        <w:t>« Toutefois, la compétence d'un établissement public de coopération intercommunale à fiscalité propre, ainsi que celle de la métropole de Lyon en matière de plan local d'urbanisme, emporte leur compétence de plein droit en matière de droit de préemption urbain. » ;</w:t>
      </w:r>
      <w:r w:rsidRPr="00874A27">
        <w:rPr>
          <w:rFonts w:ascii="Arial" w:eastAsia="Times New Roman" w:hAnsi="Arial" w:cs="Arial"/>
          <w:color w:val="000000"/>
          <w:sz w:val="19"/>
          <w:szCs w:val="19"/>
          <w:lang w:eastAsia="fr-FR"/>
        </w:rPr>
        <w:br/>
        <w:t>3° Après l'article L. 211-2, il est inséré un article L. 211-2-1 ainsi rédigé :</w:t>
      </w:r>
      <w:r w:rsidRPr="00874A27">
        <w:rPr>
          <w:rFonts w:ascii="Arial" w:eastAsia="Times New Roman" w:hAnsi="Arial" w:cs="Arial"/>
          <w:color w:val="000000"/>
          <w:sz w:val="19"/>
          <w:szCs w:val="19"/>
          <w:lang w:eastAsia="fr-FR"/>
        </w:rPr>
        <w:br/>
        <w:t>« Art. L. 211-2-1. - Dans les départements et régions d'outre-mer, le titulaire du droit de préemption peut également déléguer son droit à un organisme d'habitations à loyer modéré prévu à l'</w:t>
      </w:r>
      <w:hyperlink r:id="rId613" w:history="1">
        <w:r w:rsidRPr="00874A27">
          <w:rPr>
            <w:rFonts w:ascii="Arial" w:eastAsia="Times New Roman" w:hAnsi="Arial" w:cs="Arial"/>
            <w:color w:val="336699"/>
            <w:sz w:val="19"/>
            <w:szCs w:val="19"/>
            <w:u w:val="single"/>
            <w:lang w:eastAsia="fr-FR"/>
          </w:rPr>
          <w:t>article L. 411-2 du code de la construction et de l'habitation</w:t>
        </w:r>
      </w:hyperlink>
      <w:r w:rsidRPr="00874A27">
        <w:rPr>
          <w:rFonts w:ascii="Arial" w:eastAsia="Times New Roman" w:hAnsi="Arial" w:cs="Arial"/>
          <w:color w:val="000000"/>
          <w:sz w:val="19"/>
          <w:szCs w:val="19"/>
          <w:lang w:eastAsia="fr-FR"/>
        </w:rPr>
        <w:t>. Cette délégation ne peut être accordée qu'à l'occasion de l'aliénation d'un bien nécessaire à la réalisation des missions mentionnées au même article L. 411-2. » ;</w:t>
      </w:r>
      <w:r w:rsidRPr="00874A27">
        <w:rPr>
          <w:rFonts w:ascii="Arial" w:eastAsia="Times New Roman" w:hAnsi="Arial" w:cs="Arial"/>
          <w:color w:val="000000"/>
          <w:sz w:val="19"/>
          <w:szCs w:val="19"/>
          <w:lang w:eastAsia="fr-FR"/>
        </w:rPr>
        <w:br/>
        <w:t>4° L'article L. 211-4 est ainsi modifié :</w:t>
      </w:r>
      <w:r w:rsidRPr="00874A27">
        <w:rPr>
          <w:rFonts w:ascii="Arial" w:eastAsia="Times New Roman" w:hAnsi="Arial" w:cs="Arial"/>
          <w:color w:val="000000"/>
          <w:sz w:val="19"/>
          <w:szCs w:val="19"/>
          <w:lang w:eastAsia="fr-FR"/>
        </w:rPr>
        <w:br/>
        <w:t>a) Au c, le mot : « dix » est remplacé par le mot : « quatre » ;</w:t>
      </w:r>
      <w:r w:rsidRPr="00874A27">
        <w:rPr>
          <w:rFonts w:ascii="Arial" w:eastAsia="Times New Roman" w:hAnsi="Arial" w:cs="Arial"/>
          <w:color w:val="000000"/>
          <w:sz w:val="19"/>
          <w:szCs w:val="19"/>
          <w:lang w:eastAsia="fr-FR"/>
        </w:rPr>
        <w:br/>
        <w:t>b) Le d est abrogé ;</w:t>
      </w:r>
      <w:r w:rsidRPr="00874A27">
        <w:rPr>
          <w:rFonts w:ascii="Arial" w:eastAsia="Times New Roman" w:hAnsi="Arial" w:cs="Arial"/>
          <w:color w:val="000000"/>
          <w:sz w:val="19"/>
          <w:szCs w:val="19"/>
          <w:lang w:eastAsia="fr-FR"/>
        </w:rPr>
        <w:br/>
        <w:t>c) Il est ajouté un alinéa ainsi rédigé :</w:t>
      </w:r>
      <w:r w:rsidRPr="00874A27">
        <w:rPr>
          <w:rFonts w:ascii="Arial" w:eastAsia="Times New Roman" w:hAnsi="Arial" w:cs="Arial"/>
          <w:color w:val="000000"/>
          <w:sz w:val="19"/>
          <w:szCs w:val="19"/>
          <w:lang w:eastAsia="fr-FR"/>
        </w:rPr>
        <w:br/>
        <w:t>« Pour la mise en œuvre du deuxième alinéa de l'article L. 210-1, le représentant de l'Etat dans le département peut également décider, par arrêté motivé, d'appliquer le droit de préemption aux aliénations et cessions mentionnées au présent article sur la totalité ou sur certaines parties du territoire soumis à ce droit. » ;</w:t>
      </w:r>
      <w:r w:rsidRPr="00874A27">
        <w:rPr>
          <w:rFonts w:ascii="Arial" w:eastAsia="Times New Roman" w:hAnsi="Arial" w:cs="Arial"/>
          <w:color w:val="000000"/>
          <w:sz w:val="19"/>
          <w:szCs w:val="19"/>
          <w:lang w:eastAsia="fr-FR"/>
        </w:rPr>
        <w:br/>
        <w:t>5° L'article L. 211-5 est ainsi modifié :</w:t>
      </w:r>
      <w:r w:rsidRPr="00874A27">
        <w:rPr>
          <w:rFonts w:ascii="Arial" w:eastAsia="Times New Roman" w:hAnsi="Arial" w:cs="Arial"/>
          <w:color w:val="000000"/>
          <w:sz w:val="19"/>
          <w:szCs w:val="19"/>
          <w:lang w:eastAsia="fr-FR"/>
        </w:rPr>
        <w:br/>
        <w:t>a) Le troisième alinéa est ainsi rédigé :</w:t>
      </w:r>
      <w:r w:rsidRPr="00874A27">
        <w:rPr>
          <w:rFonts w:ascii="Arial" w:eastAsia="Times New Roman" w:hAnsi="Arial" w:cs="Arial"/>
          <w:color w:val="000000"/>
          <w:sz w:val="19"/>
          <w:szCs w:val="19"/>
          <w:lang w:eastAsia="fr-FR"/>
        </w:rPr>
        <w:br/>
        <w:t>« En cas d'acquisition, l'article L. 213-14 est applicable. » ;</w:t>
      </w:r>
      <w:r w:rsidRPr="00874A27">
        <w:rPr>
          <w:rFonts w:ascii="Arial" w:eastAsia="Times New Roman" w:hAnsi="Arial" w:cs="Arial"/>
          <w:color w:val="000000"/>
          <w:sz w:val="19"/>
          <w:szCs w:val="19"/>
          <w:lang w:eastAsia="fr-FR"/>
        </w:rPr>
        <w:br/>
        <w:t>b) Le cinquième alinéa est supprimé ;</w:t>
      </w:r>
      <w:r w:rsidRPr="00874A27">
        <w:rPr>
          <w:rFonts w:ascii="Arial" w:eastAsia="Times New Roman" w:hAnsi="Arial" w:cs="Arial"/>
          <w:color w:val="000000"/>
          <w:sz w:val="19"/>
          <w:szCs w:val="19"/>
          <w:lang w:eastAsia="fr-FR"/>
        </w:rPr>
        <w:br/>
        <w:t>6° L'article L. 212-1 est ainsi modifié :</w:t>
      </w:r>
      <w:r w:rsidRPr="00874A27">
        <w:rPr>
          <w:rFonts w:ascii="Arial" w:eastAsia="Times New Roman" w:hAnsi="Arial" w:cs="Arial"/>
          <w:color w:val="000000"/>
          <w:sz w:val="19"/>
          <w:szCs w:val="19"/>
          <w:lang w:eastAsia="fr-FR"/>
        </w:rPr>
        <w:br/>
        <w:t>a) A la première phrase du premier alinéa, les mots : « ou de » sont remplacés par les mots : « et après avis de » ;</w:t>
      </w:r>
      <w:r w:rsidRPr="00874A27">
        <w:rPr>
          <w:rFonts w:ascii="Arial" w:eastAsia="Times New Roman" w:hAnsi="Arial" w:cs="Arial"/>
          <w:color w:val="000000"/>
          <w:sz w:val="19"/>
          <w:szCs w:val="19"/>
          <w:lang w:eastAsia="fr-FR"/>
        </w:rPr>
        <w:br/>
        <w:t>b) Sont ajoutés deux alinéas ainsi rédigés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Des zones d'aménagement différé peuvent également être créées par délibération motivée de l'organe délibérant de l'établissement public de coopération intercommunale à fiscalité propre ayant les compétences mentionnées au second alinéa de l'article L. 211-2, après avis des communes incluses dans le périmètre de la zone.</w:t>
      </w:r>
      <w:r w:rsidRPr="00874A27">
        <w:rPr>
          <w:rFonts w:ascii="Arial" w:eastAsia="Times New Roman" w:hAnsi="Arial" w:cs="Arial"/>
          <w:color w:val="000000"/>
          <w:sz w:val="19"/>
          <w:szCs w:val="19"/>
          <w:lang w:eastAsia="fr-FR"/>
        </w:rPr>
        <w:br/>
        <w:t>« En cas d'avis défavorable d'une de ces communes, la zone d'aménagement différé ne peut être créée que par arrêté du représentant de l'Etat dans le département. » ;</w:t>
      </w:r>
      <w:r w:rsidRPr="00874A27">
        <w:rPr>
          <w:rFonts w:ascii="Arial" w:eastAsia="Times New Roman" w:hAnsi="Arial" w:cs="Arial"/>
          <w:color w:val="000000"/>
          <w:sz w:val="19"/>
          <w:szCs w:val="19"/>
          <w:lang w:eastAsia="fr-FR"/>
        </w:rPr>
        <w:br/>
        <w:t>7° Le premier alinéa de l'article L. 212-2-2 est ainsi modifié :</w:t>
      </w:r>
      <w:r w:rsidRPr="00874A27">
        <w:rPr>
          <w:rFonts w:ascii="Arial" w:eastAsia="Times New Roman" w:hAnsi="Arial" w:cs="Arial"/>
          <w:color w:val="000000"/>
          <w:sz w:val="19"/>
          <w:szCs w:val="19"/>
          <w:lang w:eastAsia="fr-FR"/>
        </w:rPr>
        <w:br/>
        <w:t>a) A la première phrase, les mots : « l'une des fins définies » sont remplacés par les mots : « l'un des objets mentionnés » ;</w:t>
      </w:r>
      <w:r w:rsidRPr="00874A27">
        <w:rPr>
          <w:rFonts w:ascii="Arial" w:eastAsia="Times New Roman" w:hAnsi="Arial" w:cs="Arial"/>
          <w:color w:val="000000"/>
          <w:sz w:val="19"/>
          <w:szCs w:val="19"/>
          <w:lang w:eastAsia="fr-FR"/>
        </w:rPr>
        <w:br/>
        <w:t>b) A la seconde phrase, les mots : « troisième, quatrième, cinquième et sixième » sont remplacés par les mots : « quatrième, cinquième, sixième et septième » ;</w:t>
      </w:r>
      <w:r w:rsidRPr="00874A27">
        <w:rPr>
          <w:rFonts w:ascii="Arial" w:eastAsia="Times New Roman" w:hAnsi="Arial" w:cs="Arial"/>
          <w:color w:val="000000"/>
          <w:sz w:val="19"/>
          <w:szCs w:val="19"/>
          <w:lang w:eastAsia="fr-FR"/>
        </w:rPr>
        <w:br/>
        <w:t>8° L'article L. 212-3 est ainsi modifié :</w:t>
      </w:r>
      <w:r w:rsidRPr="00874A27">
        <w:rPr>
          <w:rFonts w:ascii="Arial" w:eastAsia="Times New Roman" w:hAnsi="Arial" w:cs="Arial"/>
          <w:color w:val="000000"/>
          <w:sz w:val="19"/>
          <w:szCs w:val="19"/>
          <w:lang w:eastAsia="fr-FR"/>
        </w:rPr>
        <w:br/>
        <w:t>a) Le troisième alinéa est ainsi rédigé :</w:t>
      </w:r>
      <w:r w:rsidRPr="00874A27">
        <w:rPr>
          <w:rFonts w:ascii="Arial" w:eastAsia="Times New Roman" w:hAnsi="Arial" w:cs="Arial"/>
          <w:color w:val="000000"/>
          <w:sz w:val="19"/>
          <w:szCs w:val="19"/>
          <w:lang w:eastAsia="fr-FR"/>
        </w:rPr>
        <w:br/>
        <w:t>« En cas d'acquisition, l'article L. 213-14 est applicable. » ;</w:t>
      </w:r>
      <w:r w:rsidRPr="00874A27">
        <w:rPr>
          <w:rFonts w:ascii="Arial" w:eastAsia="Times New Roman" w:hAnsi="Arial" w:cs="Arial"/>
          <w:color w:val="000000"/>
          <w:sz w:val="19"/>
          <w:szCs w:val="19"/>
          <w:lang w:eastAsia="fr-FR"/>
        </w:rPr>
        <w:br/>
        <w:t>b) Le cinquième alinéa est supprimé ;</w:t>
      </w:r>
      <w:r w:rsidRPr="00874A27">
        <w:rPr>
          <w:rFonts w:ascii="Arial" w:eastAsia="Times New Roman" w:hAnsi="Arial" w:cs="Arial"/>
          <w:color w:val="000000"/>
          <w:sz w:val="19"/>
          <w:szCs w:val="19"/>
          <w:lang w:eastAsia="fr-FR"/>
        </w:rPr>
        <w:br/>
        <w:t>9° L'article L. 213-1 est ainsi modifié :</w:t>
      </w:r>
      <w:r w:rsidRPr="00874A27">
        <w:rPr>
          <w:rFonts w:ascii="Arial" w:eastAsia="Times New Roman" w:hAnsi="Arial" w:cs="Arial"/>
          <w:color w:val="000000"/>
          <w:sz w:val="19"/>
          <w:szCs w:val="19"/>
          <w:lang w:eastAsia="fr-FR"/>
        </w:rPr>
        <w:br/>
        <w:t>a) Les deux premiers alinéas sont remplacés par cinq alinéas ainsi rédigés :</w:t>
      </w:r>
      <w:r w:rsidRPr="00874A27">
        <w:rPr>
          <w:rFonts w:ascii="Arial" w:eastAsia="Times New Roman" w:hAnsi="Arial" w:cs="Arial"/>
          <w:color w:val="000000"/>
          <w:sz w:val="19"/>
          <w:szCs w:val="19"/>
          <w:lang w:eastAsia="fr-FR"/>
        </w:rPr>
        <w:br/>
        <w:t>« Sont soumis au droit de préemption institué par l'un ou l'autre des deux précédents chapitres :</w:t>
      </w:r>
      <w:r w:rsidRPr="00874A27">
        <w:rPr>
          <w:rFonts w:ascii="Arial" w:eastAsia="Times New Roman" w:hAnsi="Arial" w:cs="Arial"/>
          <w:color w:val="000000"/>
          <w:sz w:val="19"/>
          <w:szCs w:val="19"/>
          <w:lang w:eastAsia="fr-FR"/>
        </w:rPr>
        <w:br/>
        <w:t>« 1° Tout immeuble ou ensemble de droits sociaux donnant vocation à l'attribution en propriété ou en jouissance d'un immeuble ou d'une partie d'immeuble, bâti ou non bâti, lorsqu'ils sont aliénés, à titre onéreux, sous quelque forme que ce soit, à l'exception de ceux qui sont compris dans un plan de cession arrêté en application de l'article </w:t>
      </w:r>
      <w:hyperlink r:id="rId614" w:history="1">
        <w:r w:rsidRPr="00874A27">
          <w:rPr>
            <w:rFonts w:ascii="Arial" w:eastAsia="Times New Roman" w:hAnsi="Arial" w:cs="Arial"/>
            <w:color w:val="336699"/>
            <w:sz w:val="19"/>
            <w:szCs w:val="19"/>
            <w:u w:val="single"/>
            <w:lang w:eastAsia="fr-FR"/>
          </w:rPr>
          <w:t>L. 631-22</w:t>
        </w:r>
      </w:hyperlink>
      <w:r w:rsidRPr="00874A27">
        <w:rPr>
          <w:rFonts w:ascii="Arial" w:eastAsia="Times New Roman" w:hAnsi="Arial" w:cs="Arial"/>
          <w:color w:val="000000"/>
          <w:sz w:val="19"/>
          <w:szCs w:val="19"/>
          <w:lang w:eastAsia="fr-FR"/>
        </w:rPr>
        <w:t> ou des articles </w:t>
      </w:r>
      <w:hyperlink r:id="rId615" w:history="1">
        <w:r w:rsidRPr="00874A27">
          <w:rPr>
            <w:rFonts w:ascii="Arial" w:eastAsia="Times New Roman" w:hAnsi="Arial" w:cs="Arial"/>
            <w:color w:val="336699"/>
            <w:sz w:val="19"/>
            <w:szCs w:val="19"/>
            <w:u w:val="single"/>
            <w:lang w:eastAsia="fr-FR"/>
          </w:rPr>
          <w:t>L. 642-1</w:t>
        </w:r>
      </w:hyperlink>
      <w:r w:rsidRPr="00874A27">
        <w:rPr>
          <w:rFonts w:ascii="Arial" w:eastAsia="Times New Roman" w:hAnsi="Arial" w:cs="Arial"/>
          <w:color w:val="000000"/>
          <w:sz w:val="19"/>
          <w:szCs w:val="19"/>
          <w:lang w:eastAsia="fr-FR"/>
        </w:rPr>
        <w:t> et suivants du code de commerce ;</w:t>
      </w:r>
      <w:r w:rsidRPr="00874A27">
        <w:rPr>
          <w:rFonts w:ascii="Arial" w:eastAsia="Times New Roman" w:hAnsi="Arial" w:cs="Arial"/>
          <w:color w:val="000000"/>
          <w:sz w:val="19"/>
          <w:szCs w:val="19"/>
          <w:lang w:eastAsia="fr-FR"/>
        </w:rPr>
        <w:br/>
        <w:t>« 2° Les cessions de droits indivis portant sur un immeuble ou une partie d'immeuble, bâti ou non bâti, sauf lorsqu'elles sont consenties à l'un des coïndivisaires, et les cessions de tantièmes contre remise de locaux à construire ;</w:t>
      </w:r>
      <w:r w:rsidRPr="00874A27">
        <w:rPr>
          <w:rFonts w:ascii="Arial" w:eastAsia="Times New Roman" w:hAnsi="Arial" w:cs="Arial"/>
          <w:color w:val="000000"/>
          <w:sz w:val="19"/>
          <w:szCs w:val="19"/>
          <w:lang w:eastAsia="fr-FR"/>
        </w:rPr>
        <w:br/>
        <w:t>« 3° Les cessions de la majorité des parts d'une société civile immobilière ou les cessions conduisant un acquéreur à détenir la majorité des parts de ladite société, lorsque le patrimoine de cette société est constitué par une unité foncière, bâtie ou non, dont la cession serait soumise au droit de préemption. Le présent 3° ne s'applique pas aux sociétés civiles immobilières constituées exclusivement entre parents et alliés jusqu'au quatrième degré inclus ;</w:t>
      </w:r>
      <w:r w:rsidRPr="00874A27">
        <w:rPr>
          <w:rFonts w:ascii="Arial" w:eastAsia="Times New Roman" w:hAnsi="Arial" w:cs="Arial"/>
          <w:color w:val="000000"/>
          <w:sz w:val="19"/>
          <w:szCs w:val="19"/>
          <w:lang w:eastAsia="fr-FR"/>
        </w:rPr>
        <w:br/>
        <w:t>« 4° Les immeubles construits ou acquis par les organismes mentionnés à l'</w:t>
      </w:r>
      <w:hyperlink r:id="rId616" w:history="1">
        <w:r w:rsidRPr="00874A27">
          <w:rPr>
            <w:rFonts w:ascii="Arial" w:eastAsia="Times New Roman" w:hAnsi="Arial" w:cs="Arial"/>
            <w:color w:val="336699"/>
            <w:sz w:val="19"/>
            <w:szCs w:val="19"/>
            <w:u w:val="single"/>
            <w:lang w:eastAsia="fr-FR"/>
          </w:rPr>
          <w:t>article L. 411-2 du code de la construction et de l'habitation</w:t>
        </w:r>
      </w:hyperlink>
      <w:r w:rsidRPr="00874A27">
        <w:rPr>
          <w:rFonts w:ascii="Arial" w:eastAsia="Times New Roman" w:hAnsi="Arial" w:cs="Arial"/>
          <w:color w:val="000000"/>
          <w:sz w:val="19"/>
          <w:szCs w:val="19"/>
          <w:lang w:eastAsia="fr-FR"/>
        </w:rPr>
        <w:t> et qui sont leur propriété, sous réserve des droits des locataires définis à l'article L. 443-11 du même code. » ;</w:t>
      </w:r>
      <w:r w:rsidRPr="00874A27">
        <w:rPr>
          <w:rFonts w:ascii="Arial" w:eastAsia="Times New Roman" w:hAnsi="Arial" w:cs="Arial"/>
          <w:color w:val="000000"/>
          <w:sz w:val="19"/>
          <w:szCs w:val="19"/>
          <w:lang w:eastAsia="fr-FR"/>
        </w:rPr>
        <w:br/>
        <w:t>b) Au a, les mots : « immeubles construits ou acquis par les organismes mentionnés à l'</w:t>
      </w:r>
      <w:hyperlink r:id="rId617" w:history="1">
        <w:r w:rsidRPr="00874A27">
          <w:rPr>
            <w:rFonts w:ascii="Arial" w:eastAsia="Times New Roman" w:hAnsi="Arial" w:cs="Arial"/>
            <w:color w:val="336699"/>
            <w:sz w:val="19"/>
            <w:szCs w:val="19"/>
            <w:u w:val="single"/>
            <w:lang w:eastAsia="fr-FR"/>
          </w:rPr>
          <w:t>article L. 411-2 du code de la construction et de l'habitation</w:t>
        </w:r>
      </w:hyperlink>
      <w:r w:rsidRPr="00874A27">
        <w:rPr>
          <w:rFonts w:ascii="Arial" w:eastAsia="Times New Roman" w:hAnsi="Arial" w:cs="Arial"/>
          <w:color w:val="000000"/>
          <w:sz w:val="19"/>
          <w:szCs w:val="19"/>
          <w:lang w:eastAsia="fr-FR"/>
        </w:rPr>
        <w:t> et qui sont leur propriété, ainsi que les » sont supprimés ;</w:t>
      </w:r>
      <w:r w:rsidRPr="00874A27">
        <w:rPr>
          <w:rFonts w:ascii="Arial" w:eastAsia="Times New Roman" w:hAnsi="Arial" w:cs="Arial"/>
          <w:color w:val="000000"/>
          <w:sz w:val="19"/>
          <w:szCs w:val="19"/>
          <w:lang w:eastAsia="fr-FR"/>
        </w:rPr>
        <w:br/>
        <w:t>c) Au c, les références : « titres II et III de la loi n° 71-579 du 16 juillet 1971 relative à diverses opérations de construction » sont remplacées par les références : « chapitres II et III du titre Ier du livre II du code de la construction et de l'habitation » ;</w:t>
      </w:r>
      <w:r w:rsidRPr="00874A27">
        <w:rPr>
          <w:rFonts w:ascii="Arial" w:eastAsia="Times New Roman" w:hAnsi="Arial" w:cs="Arial"/>
          <w:color w:val="000000"/>
          <w:sz w:val="19"/>
          <w:szCs w:val="19"/>
          <w:lang w:eastAsia="fr-FR"/>
        </w:rPr>
        <w:br/>
        <w:t>d) Après les mots : « en application du », la fin du d est ainsi rédigée : « </w:t>
      </w:r>
      <w:hyperlink r:id="rId618" w:history="1">
        <w:r w:rsidRPr="00874A27">
          <w:rPr>
            <w:rFonts w:ascii="Arial" w:eastAsia="Times New Roman" w:hAnsi="Arial" w:cs="Arial"/>
            <w:color w:val="336699"/>
            <w:sz w:val="19"/>
            <w:szCs w:val="19"/>
            <w:u w:val="single"/>
            <w:lang w:eastAsia="fr-FR"/>
          </w:rPr>
          <w:t>2 de l'article L. 313-7 du code monétaire et financier</w:t>
        </w:r>
      </w:hyperlink>
      <w:r w:rsidRPr="00874A27">
        <w:rPr>
          <w:rFonts w:ascii="Arial" w:eastAsia="Times New Roman" w:hAnsi="Arial" w:cs="Arial"/>
          <w:color w:val="000000"/>
          <w:sz w:val="19"/>
          <w:szCs w:val="19"/>
          <w:lang w:eastAsia="fr-FR"/>
        </w:rPr>
        <w:t> ; »</w:t>
      </w:r>
      <w:r w:rsidRPr="00874A27">
        <w:rPr>
          <w:rFonts w:ascii="Arial" w:eastAsia="Times New Roman" w:hAnsi="Arial" w:cs="Arial"/>
          <w:color w:val="000000"/>
          <w:sz w:val="19"/>
          <w:szCs w:val="19"/>
          <w:lang w:eastAsia="fr-FR"/>
        </w:rPr>
        <w:br/>
        <w:t>10° Après l'article L. 213-1, il est inséré un article L. 213-1-2 ainsi rédigé :</w:t>
      </w:r>
      <w:r w:rsidRPr="00874A27">
        <w:rPr>
          <w:rFonts w:ascii="Arial" w:eastAsia="Times New Roman" w:hAnsi="Arial" w:cs="Arial"/>
          <w:color w:val="000000"/>
          <w:sz w:val="19"/>
          <w:szCs w:val="19"/>
          <w:lang w:eastAsia="fr-FR"/>
        </w:rPr>
        <w:br/>
        <w:t>« Art. L. 213-1-2. - Sont également soumis au droit de préemption les immeubles ou ensembles de droits sociaux mentionnés au 1° de l'article L. 213-1 lorsqu'ils constituent un apport en nature au sein d'une société civile immobilière. La déclaration d'intention d'aliéner est alors accompagnée d'un état de la situation sociale, financière et patrimoniale de la société civile immobilière. » ;</w:t>
      </w:r>
      <w:r w:rsidRPr="00874A27">
        <w:rPr>
          <w:rFonts w:ascii="Arial" w:eastAsia="Times New Roman" w:hAnsi="Arial" w:cs="Arial"/>
          <w:color w:val="000000"/>
          <w:sz w:val="19"/>
          <w:szCs w:val="19"/>
          <w:lang w:eastAsia="fr-FR"/>
        </w:rPr>
        <w:br/>
        <w:t>11° L'article L. 213-2 est ainsi modifié :</w:t>
      </w:r>
      <w:r w:rsidRPr="00874A27">
        <w:rPr>
          <w:rFonts w:ascii="Arial" w:eastAsia="Times New Roman" w:hAnsi="Arial" w:cs="Arial"/>
          <w:color w:val="000000"/>
          <w:sz w:val="19"/>
          <w:szCs w:val="19"/>
          <w:lang w:eastAsia="fr-FR"/>
        </w:rPr>
        <w:br/>
        <w:t>a) La seconde phrase du premier alinéa est remplacée par quatre phrases ainsi rédigées :</w:t>
      </w:r>
      <w:r w:rsidRPr="00874A27">
        <w:rPr>
          <w:rFonts w:ascii="Arial" w:eastAsia="Times New Roman" w:hAnsi="Arial" w:cs="Arial"/>
          <w:color w:val="000000"/>
          <w:sz w:val="19"/>
          <w:szCs w:val="19"/>
          <w:lang w:eastAsia="fr-FR"/>
        </w:rPr>
        <w:br/>
        <w:t>« Cette déclaration comporte obligatoirement l'indication du prix et des conditions de l'aliénation projetée ou, en cas d'adjudication, l'estimation du bien ou sa mise à prix, ainsi que les informations dues au titre de l'</w:t>
      </w:r>
      <w:hyperlink r:id="rId619" w:history="1">
        <w:r w:rsidRPr="00874A27">
          <w:rPr>
            <w:rFonts w:ascii="Arial" w:eastAsia="Times New Roman" w:hAnsi="Arial" w:cs="Arial"/>
            <w:color w:val="336699"/>
            <w:sz w:val="19"/>
            <w:szCs w:val="19"/>
            <w:u w:val="single"/>
            <w:lang w:eastAsia="fr-FR"/>
          </w:rPr>
          <w:t>article L. 514-20 du code de l'environnement</w:t>
        </w:r>
      </w:hyperlink>
      <w:r w:rsidRPr="00874A27">
        <w:rPr>
          <w:rFonts w:ascii="Arial" w:eastAsia="Times New Roman" w:hAnsi="Arial" w:cs="Arial"/>
          <w:color w:val="000000"/>
          <w:sz w:val="19"/>
          <w:szCs w:val="19"/>
          <w:lang w:eastAsia="fr-FR"/>
        </w:rPr>
        <w:t>. Le titulaire du droit de préemption peut, dans le délai de deux mois prévu au troisième alinéa du présent article, adresser au propriétaire une demande unique de communication des documents permettant d'apprécier la consistance et l'état de l'immeuble, ainsi que, le cas échéant, la situation sociale, financière et patrimoniale de la société civile immobilière. La liste des documents susceptibles d'être demandés est fixée limitativement par décret en Conseil d'Etat. La déclaration d'intention d'aliéner peut être dématérialisée. » ;</w:t>
      </w:r>
      <w:r w:rsidRPr="00874A27">
        <w:rPr>
          <w:rFonts w:ascii="Arial" w:eastAsia="Times New Roman" w:hAnsi="Arial" w:cs="Arial"/>
          <w:color w:val="000000"/>
          <w:sz w:val="19"/>
          <w:szCs w:val="19"/>
          <w:lang w:eastAsia="fr-FR"/>
        </w:rPr>
        <w:br/>
        <w:t>b) Après le troisième alinéa, sont insérés trois alinéas ainsi rédigés :</w:t>
      </w:r>
      <w:r w:rsidRPr="00874A27">
        <w:rPr>
          <w:rFonts w:ascii="Arial" w:eastAsia="Times New Roman" w:hAnsi="Arial" w:cs="Arial"/>
          <w:color w:val="000000"/>
          <w:sz w:val="19"/>
          <w:szCs w:val="19"/>
          <w:lang w:eastAsia="fr-FR"/>
        </w:rPr>
        <w:br/>
        <w:t xml:space="preserve">« Le délai est suspendu à compter de la réception de la demande mentionnée au premier alinéa ou de la demande de visite du bien. Il reprend à compter de la réception des documents par le titulaire du droit de préemption, du refus par le propriétaire de la visite du bien ou de la visite du bien par le titulaire du droit de préemption. Si le délai restant est inférieur à un mois, le titulaire dispose d'un mois pour prendre sa décision. Passés ces délais, son silence vaut renonciation à l'exercice du droit </w:t>
      </w:r>
      <w:r w:rsidRPr="00874A27">
        <w:rPr>
          <w:rFonts w:ascii="Arial" w:eastAsia="Times New Roman" w:hAnsi="Arial" w:cs="Arial"/>
          <w:color w:val="000000"/>
          <w:sz w:val="19"/>
          <w:szCs w:val="19"/>
          <w:lang w:eastAsia="fr-FR"/>
        </w:rPr>
        <w:lastRenderedPageBreak/>
        <w:t>de préemption.</w:t>
      </w:r>
      <w:r w:rsidRPr="00874A27">
        <w:rPr>
          <w:rFonts w:ascii="Arial" w:eastAsia="Times New Roman" w:hAnsi="Arial" w:cs="Arial"/>
          <w:color w:val="000000"/>
          <w:sz w:val="19"/>
          <w:szCs w:val="19"/>
          <w:lang w:eastAsia="fr-FR"/>
        </w:rPr>
        <w:br/>
        <w:t>« Lorsqu'il envisage d'acquérir le bien, le titulaire du droit de préemption transmet sans délai copie de la déclaration d'intention d'aliéner au responsable départemental des services fiscaux. La décision du titulaire fait l'objet d'une publication. Elle est notifiée au vendeur, au notaire et, le cas échéant, à la personne mentionnée dans la déclaration d'intention d'aliéner qui avait l'intention d'acquérir le bien. Le notaire la transmet aux titulaires de droits d'emphytéose, d'habitation ou d'usage, aux personnes bénéficiaires de servitudes, aux fermiers et aux locataires mentionnés dans la déclaration d'intention d'aliéner.</w:t>
      </w:r>
      <w:r w:rsidRPr="00874A27">
        <w:rPr>
          <w:rFonts w:ascii="Arial" w:eastAsia="Times New Roman" w:hAnsi="Arial" w:cs="Arial"/>
          <w:color w:val="000000"/>
          <w:sz w:val="19"/>
          <w:szCs w:val="19"/>
          <w:lang w:eastAsia="fr-FR"/>
        </w:rPr>
        <w:br/>
        <w:t>« Le titulaire du droit de préemption peut demander à visiter le bien dans des conditions fixées par décret. » ;</w:t>
      </w:r>
      <w:r w:rsidRPr="00874A27">
        <w:rPr>
          <w:rFonts w:ascii="Arial" w:eastAsia="Times New Roman" w:hAnsi="Arial" w:cs="Arial"/>
          <w:color w:val="000000"/>
          <w:sz w:val="19"/>
          <w:szCs w:val="19"/>
          <w:lang w:eastAsia="fr-FR"/>
        </w:rPr>
        <w:br/>
        <w:t>12° L'article L. 213-8 est ainsi modifié :</w:t>
      </w:r>
      <w:r w:rsidRPr="00874A27">
        <w:rPr>
          <w:rFonts w:ascii="Arial" w:eastAsia="Times New Roman" w:hAnsi="Arial" w:cs="Arial"/>
          <w:color w:val="000000"/>
          <w:sz w:val="19"/>
          <w:szCs w:val="19"/>
          <w:lang w:eastAsia="fr-FR"/>
        </w:rPr>
        <w:br/>
        <w:t>a) Le premier alinéa est complété par les mots : « révisé, s'il y a lieu, en fonction des variations du coût de la construction constatées par l'Institut national de la statistique et des études économiques depuis la date de cette déclaration » ;</w:t>
      </w:r>
      <w:r w:rsidRPr="00874A27">
        <w:rPr>
          <w:rFonts w:ascii="Arial" w:eastAsia="Times New Roman" w:hAnsi="Arial" w:cs="Arial"/>
          <w:color w:val="000000"/>
          <w:sz w:val="19"/>
          <w:szCs w:val="19"/>
          <w:lang w:eastAsia="fr-FR"/>
        </w:rPr>
        <w:br/>
        <w:t>b) Après le premier alinéa, il est inséré un alinéa ainsi rédigé :</w:t>
      </w:r>
      <w:r w:rsidRPr="00874A27">
        <w:rPr>
          <w:rFonts w:ascii="Arial" w:eastAsia="Times New Roman" w:hAnsi="Arial" w:cs="Arial"/>
          <w:color w:val="000000"/>
          <w:sz w:val="19"/>
          <w:szCs w:val="19"/>
          <w:lang w:eastAsia="fr-FR"/>
        </w:rPr>
        <w:br/>
        <w:t>« Si le propriétaire n'a pas réalisé la vente de son bien sous forme authentique dans le délai de trois ans à compter de la renonciation au droit de préemption, il dépose une nouvelle déclaration préalable mentionnée à l'article L. 213-2. » ;</w:t>
      </w:r>
      <w:r w:rsidRPr="00874A27">
        <w:rPr>
          <w:rFonts w:ascii="Arial" w:eastAsia="Times New Roman" w:hAnsi="Arial" w:cs="Arial"/>
          <w:color w:val="000000"/>
          <w:sz w:val="19"/>
          <w:szCs w:val="19"/>
          <w:lang w:eastAsia="fr-FR"/>
        </w:rPr>
        <w:br/>
        <w:t>13° L'article L. 213-9 est ainsi rédigé :</w:t>
      </w:r>
      <w:r w:rsidRPr="00874A27">
        <w:rPr>
          <w:rFonts w:ascii="Arial" w:eastAsia="Times New Roman" w:hAnsi="Arial" w:cs="Arial"/>
          <w:color w:val="000000"/>
          <w:sz w:val="19"/>
          <w:szCs w:val="19"/>
          <w:lang w:eastAsia="fr-FR"/>
        </w:rPr>
        <w:br/>
        <w:t>« Art. L. 213-9. - Lorsque le titulaire du droit de préemption lui a notifié son intention d'acquérir le bien dans les conditions fixées aux articles L. 211-5 ou L. 212-3, le propriétaire est tenu d'informer les locataires, les preneurs ou les occupants de bonne foi du bien et de les faire connaître à ce titulaire. » ;</w:t>
      </w:r>
      <w:r w:rsidRPr="00874A27">
        <w:rPr>
          <w:rFonts w:ascii="Arial" w:eastAsia="Times New Roman" w:hAnsi="Arial" w:cs="Arial"/>
          <w:color w:val="000000"/>
          <w:sz w:val="19"/>
          <w:szCs w:val="19"/>
          <w:lang w:eastAsia="fr-FR"/>
        </w:rPr>
        <w:br/>
        <w:t>14° L'article L. 213-11 est ainsi modifié :</w:t>
      </w:r>
      <w:r w:rsidRPr="00874A27">
        <w:rPr>
          <w:rFonts w:ascii="Arial" w:eastAsia="Times New Roman" w:hAnsi="Arial" w:cs="Arial"/>
          <w:color w:val="000000"/>
          <w:sz w:val="19"/>
          <w:szCs w:val="19"/>
          <w:lang w:eastAsia="fr-FR"/>
        </w:rPr>
        <w:br/>
        <w:t>a) Après le mot : « aliénés », la fin de la première phrase du premier alinéa est ainsi rédigée : « pour l'un des objets mentionnés au premier alinéa de l'article L. 210-1, qui peut être différent de celui mentionné dans la décision de préemption. » ;</w:t>
      </w:r>
      <w:r w:rsidRPr="00874A27">
        <w:rPr>
          <w:rFonts w:ascii="Arial" w:eastAsia="Times New Roman" w:hAnsi="Arial" w:cs="Arial"/>
          <w:color w:val="000000"/>
          <w:sz w:val="19"/>
          <w:szCs w:val="19"/>
          <w:lang w:eastAsia="fr-FR"/>
        </w:rPr>
        <w:br/>
        <w:t>b) Au deuxième alinéa, les mots : « à d'autres fins » sont remplacés par les mots : « pour d'autres objets que ceux mentionnés au premier alinéa de l'article L. 210-1 » ;</w:t>
      </w:r>
      <w:r w:rsidRPr="00874A27">
        <w:rPr>
          <w:rFonts w:ascii="Arial" w:eastAsia="Times New Roman" w:hAnsi="Arial" w:cs="Arial"/>
          <w:color w:val="000000"/>
          <w:sz w:val="19"/>
          <w:szCs w:val="19"/>
          <w:lang w:eastAsia="fr-FR"/>
        </w:rPr>
        <w:br/>
        <w:t>c) Après le deuxième alinéa, il est inséré un alinéa ainsi rédigé :</w:t>
      </w:r>
      <w:r w:rsidRPr="00874A27">
        <w:rPr>
          <w:rFonts w:ascii="Arial" w:eastAsia="Times New Roman" w:hAnsi="Arial" w:cs="Arial"/>
          <w:color w:val="000000"/>
          <w:sz w:val="19"/>
          <w:szCs w:val="19"/>
          <w:lang w:eastAsia="fr-FR"/>
        </w:rPr>
        <w:br/>
        <w:t>« Tout changement d'affectation du bien acquis par l'exercice du droit de préemption, dans la limite des objets prévus à l'article L. 210-1, doit faire l'objet d'une décision de l'organe délibérant de la collectivité. » ;</w:t>
      </w:r>
      <w:r w:rsidRPr="00874A27">
        <w:rPr>
          <w:rFonts w:ascii="Arial" w:eastAsia="Times New Roman" w:hAnsi="Arial" w:cs="Arial"/>
          <w:color w:val="000000"/>
          <w:sz w:val="19"/>
          <w:szCs w:val="19"/>
          <w:lang w:eastAsia="fr-FR"/>
        </w:rPr>
        <w:br/>
        <w:t>15° Après l'article L. 213-11, il est inséré un article L. 213-11-1 ainsi rédigé :</w:t>
      </w:r>
      <w:r w:rsidRPr="00874A27">
        <w:rPr>
          <w:rFonts w:ascii="Arial" w:eastAsia="Times New Roman" w:hAnsi="Arial" w:cs="Arial"/>
          <w:color w:val="000000"/>
          <w:sz w:val="19"/>
          <w:szCs w:val="19"/>
          <w:lang w:eastAsia="fr-FR"/>
        </w:rPr>
        <w:br/>
        <w:t>« Art. L. 213-11-1. - Lorsque, après que le transfert de propriété a été effectué, la décision de préemption est annulée ou déclarée illégale par la juridiction administrative, le titulaire du droit de préemption propose aux anciens propriétaires ou à leurs ayants cause universels ou à titre universel l'acquisition du bien en priorité.</w:t>
      </w:r>
      <w:r w:rsidRPr="00874A27">
        <w:rPr>
          <w:rFonts w:ascii="Arial" w:eastAsia="Times New Roman" w:hAnsi="Arial" w:cs="Arial"/>
          <w:color w:val="000000"/>
          <w:sz w:val="19"/>
          <w:szCs w:val="19"/>
          <w:lang w:eastAsia="fr-FR"/>
        </w:rPr>
        <w:br/>
        <w:t>« Le prix proposé vise à rétablir, sans enrichissement injustifié de l'une des parties, les conditions de la transaction à laquelle l'exercice du droit de préemption a fait obstacle. A défaut d'accord amiable, le prix est fixé par la juridiction compétente en matière d'expropriation, conformément aux règles mentionnées à l'article L. 213-4.</w:t>
      </w:r>
      <w:r w:rsidRPr="00874A27">
        <w:rPr>
          <w:rFonts w:ascii="Arial" w:eastAsia="Times New Roman" w:hAnsi="Arial" w:cs="Arial"/>
          <w:color w:val="000000"/>
          <w:sz w:val="19"/>
          <w:szCs w:val="19"/>
          <w:lang w:eastAsia="fr-FR"/>
        </w:rPr>
        <w:br/>
        <w:t>« A défaut d'acceptation dans le délai de trois mois à compter de la notification de la décision juridictionnelle devenue définitive, les anciens propriétaires ou leurs ayants cause universels ou à titre universel sont réputés avoir renoncé à l'acquisition.</w:t>
      </w:r>
      <w:r w:rsidRPr="00874A27">
        <w:rPr>
          <w:rFonts w:ascii="Arial" w:eastAsia="Times New Roman" w:hAnsi="Arial" w:cs="Arial"/>
          <w:color w:val="000000"/>
          <w:sz w:val="19"/>
          <w:szCs w:val="19"/>
          <w:lang w:eastAsia="fr-FR"/>
        </w:rPr>
        <w:br/>
        <w:t>« Dans le cas où les anciens propriétaires ou leurs ayants cause universels ou à titre universel ont renoncé expressément ou tacitement à l'acquisition dans les conditions mentionnées aux trois premiers alinéas du présent article, le titulaire du droit de préemption propose également l'acquisition à la personne qui avait l'intention d'acquérir le bien, lorsque son nom était inscrit dans la déclaration mentionnée à l'article L. 213-2. » ;</w:t>
      </w:r>
      <w:r w:rsidRPr="00874A27">
        <w:rPr>
          <w:rFonts w:ascii="Arial" w:eastAsia="Times New Roman" w:hAnsi="Arial" w:cs="Arial"/>
          <w:color w:val="000000"/>
          <w:sz w:val="19"/>
          <w:szCs w:val="19"/>
          <w:lang w:eastAsia="fr-FR"/>
        </w:rPr>
        <w:br/>
        <w:t>16° L'article L. 213-12 est ainsi modifié :</w:t>
      </w:r>
      <w:r w:rsidRPr="00874A27">
        <w:rPr>
          <w:rFonts w:ascii="Arial" w:eastAsia="Times New Roman" w:hAnsi="Arial" w:cs="Arial"/>
          <w:color w:val="000000"/>
          <w:sz w:val="19"/>
          <w:szCs w:val="19"/>
          <w:lang w:eastAsia="fr-FR"/>
        </w:rPr>
        <w:br/>
        <w:t>a) Au premier alinéa, après la référence : « L. 213-11 », est insérée la référence : « ou au premier alinéa de l'article L. 213-11-1 » ;</w:t>
      </w:r>
      <w:r w:rsidRPr="00874A27">
        <w:rPr>
          <w:rFonts w:ascii="Arial" w:eastAsia="Times New Roman" w:hAnsi="Arial" w:cs="Arial"/>
          <w:color w:val="000000"/>
          <w:sz w:val="19"/>
          <w:szCs w:val="19"/>
          <w:lang w:eastAsia="fr-FR"/>
        </w:rPr>
        <w:br/>
        <w:t>b) Au deuxième alinéa, le mot : « cinquième » est remplacé par le mot : « sixième » et, après la référence : « L. 213-11 », est insérée la référence : « ou au dernier alinéa de l'article L. 213-11-1 » ;</w:t>
      </w:r>
      <w:r w:rsidRPr="00874A27">
        <w:rPr>
          <w:rFonts w:ascii="Arial" w:eastAsia="Times New Roman" w:hAnsi="Arial" w:cs="Arial"/>
          <w:color w:val="000000"/>
          <w:sz w:val="19"/>
          <w:szCs w:val="19"/>
          <w:lang w:eastAsia="fr-FR"/>
        </w:rPr>
        <w:br/>
        <w:t>c) Après le deuxième alinéa, il est inséré un alinéa ainsi rédigé :</w:t>
      </w:r>
      <w:r w:rsidRPr="00874A27">
        <w:rPr>
          <w:rFonts w:ascii="Arial" w:eastAsia="Times New Roman" w:hAnsi="Arial" w:cs="Arial"/>
          <w:color w:val="000000"/>
          <w:sz w:val="19"/>
          <w:szCs w:val="19"/>
          <w:lang w:eastAsia="fr-FR"/>
        </w:rPr>
        <w:br/>
        <w:t>« Dans les cas prévus aux articles L. 213-11 et L. 213-11-1, la renonciation à la rétrocession n'interdit pas de saisir le tribunal de l'ordre judiciaire d'une action en dommages et intérêts contre le titulaire du droit de préemption. » ;</w:t>
      </w:r>
      <w:r w:rsidRPr="00874A27">
        <w:rPr>
          <w:rFonts w:ascii="Arial" w:eastAsia="Times New Roman" w:hAnsi="Arial" w:cs="Arial"/>
          <w:color w:val="000000"/>
          <w:sz w:val="19"/>
          <w:szCs w:val="19"/>
          <w:lang w:eastAsia="fr-FR"/>
        </w:rPr>
        <w:br/>
        <w:t>d) Le dernier alinéa est remplacé par trois alinéas ainsi rédigés :</w:t>
      </w:r>
      <w:r w:rsidRPr="00874A27">
        <w:rPr>
          <w:rFonts w:ascii="Arial" w:eastAsia="Times New Roman" w:hAnsi="Arial" w:cs="Arial"/>
          <w:color w:val="000000"/>
          <w:sz w:val="19"/>
          <w:szCs w:val="19"/>
          <w:lang w:eastAsia="fr-FR"/>
        </w:rPr>
        <w:br/>
        <w:t>« L'action en dommages et intérêts se prescrit par cinq ans :</w:t>
      </w:r>
      <w:r w:rsidRPr="00874A27">
        <w:rPr>
          <w:rFonts w:ascii="Arial" w:eastAsia="Times New Roman" w:hAnsi="Arial" w:cs="Arial"/>
          <w:color w:val="000000"/>
          <w:sz w:val="19"/>
          <w:szCs w:val="19"/>
          <w:lang w:eastAsia="fr-FR"/>
        </w:rPr>
        <w:br/>
        <w:t>« 1° Dans le cas prévu à l'article L. 213-11, à compter de la mention de l'affectation ou de l'aliénation du bien au registre mentionné à l'article L. 213-13 ;</w:t>
      </w:r>
      <w:r w:rsidRPr="00874A27">
        <w:rPr>
          <w:rFonts w:ascii="Arial" w:eastAsia="Times New Roman" w:hAnsi="Arial" w:cs="Arial"/>
          <w:color w:val="000000"/>
          <w:sz w:val="19"/>
          <w:szCs w:val="19"/>
          <w:lang w:eastAsia="fr-FR"/>
        </w:rPr>
        <w:br/>
        <w:t xml:space="preserve">« 2° Dans le cas prévu à l'article L. 213-11-1, à compter de la décision de la juridiction administrative </w:t>
      </w:r>
      <w:r w:rsidRPr="00874A27">
        <w:rPr>
          <w:rFonts w:ascii="Arial" w:eastAsia="Times New Roman" w:hAnsi="Arial" w:cs="Arial"/>
          <w:color w:val="000000"/>
          <w:sz w:val="19"/>
          <w:szCs w:val="19"/>
          <w:lang w:eastAsia="fr-FR"/>
        </w:rPr>
        <w:lastRenderedPageBreak/>
        <w:t>devenue définitive. » ;</w:t>
      </w:r>
      <w:r w:rsidRPr="00874A27">
        <w:rPr>
          <w:rFonts w:ascii="Arial" w:eastAsia="Times New Roman" w:hAnsi="Arial" w:cs="Arial"/>
          <w:color w:val="000000"/>
          <w:sz w:val="19"/>
          <w:szCs w:val="19"/>
          <w:lang w:eastAsia="fr-FR"/>
        </w:rPr>
        <w:br/>
        <w:t>17° Les trois premiers alinéas de l'article L. 213-14 sont ainsi rédigés :</w:t>
      </w:r>
      <w:r w:rsidRPr="00874A27">
        <w:rPr>
          <w:rFonts w:ascii="Arial" w:eastAsia="Times New Roman" w:hAnsi="Arial" w:cs="Arial"/>
          <w:color w:val="000000"/>
          <w:sz w:val="19"/>
          <w:szCs w:val="19"/>
          <w:lang w:eastAsia="fr-FR"/>
        </w:rPr>
        <w:br/>
        <w:t>« En cas d'acquisition d'un bien par voie de préemption ou dans les conditions définies à l'article L. 211-5, le transfert de propriété intervient à la plus tardive des dates auxquelles seront intervenus le paiement et l'acte authentique.</w:t>
      </w:r>
      <w:r w:rsidRPr="00874A27">
        <w:rPr>
          <w:rFonts w:ascii="Arial" w:eastAsia="Times New Roman" w:hAnsi="Arial" w:cs="Arial"/>
          <w:color w:val="000000"/>
          <w:sz w:val="19"/>
          <w:szCs w:val="19"/>
          <w:lang w:eastAsia="fr-FR"/>
        </w:rPr>
        <w:br/>
        <w:t>« Le prix d'acquisition est payé ou, en cas d'obstacle au paiement, consigné dans les quatre mois qui suivent soit la décision d'acquérir le bien au prix indiqué par le vendeur ou accepté par lui, soit la décision définitive de la juridiction compétente en matière d'expropriation, soit la date de l'acte ou du jugement d'adjudication.</w:t>
      </w:r>
      <w:r w:rsidRPr="00874A27">
        <w:rPr>
          <w:rFonts w:ascii="Arial" w:eastAsia="Times New Roman" w:hAnsi="Arial" w:cs="Arial"/>
          <w:color w:val="000000"/>
          <w:sz w:val="19"/>
          <w:szCs w:val="19"/>
          <w:lang w:eastAsia="fr-FR"/>
        </w:rPr>
        <w:br/>
        <w:t>« En cas de non-respect du délai prévu au deuxième alinéa du présent article, le vendeur peut aliéner librement son bien. »</w:t>
      </w:r>
      <w:r w:rsidRPr="00874A27">
        <w:rPr>
          <w:rFonts w:ascii="Arial" w:eastAsia="Times New Roman" w:hAnsi="Arial" w:cs="Arial"/>
          <w:color w:val="000000"/>
          <w:sz w:val="19"/>
          <w:szCs w:val="19"/>
          <w:lang w:eastAsia="fr-FR"/>
        </w:rPr>
        <w:br/>
        <w:t>II. ― A l'avant-dernier alinéa de l'article L. 2511-15 du code général des collectivités territoriales, les mots : « au dernier » sont remplacés par les mots : « à l'avant-dernier ».</w:t>
      </w:r>
      <w:r w:rsidRPr="00874A27">
        <w:rPr>
          <w:rFonts w:ascii="Arial" w:eastAsia="Times New Roman" w:hAnsi="Arial" w:cs="Arial"/>
          <w:color w:val="000000"/>
          <w:sz w:val="19"/>
          <w:szCs w:val="19"/>
          <w:lang w:eastAsia="fr-FR"/>
        </w:rPr>
        <w:br/>
        <w:t>III. ― Au </w:t>
      </w:r>
      <w:hyperlink r:id="rId620" w:history="1">
        <w:r w:rsidRPr="00874A27">
          <w:rPr>
            <w:rFonts w:ascii="Arial" w:eastAsia="Times New Roman" w:hAnsi="Arial" w:cs="Arial"/>
            <w:color w:val="336699"/>
            <w:sz w:val="19"/>
            <w:szCs w:val="19"/>
            <w:u w:val="single"/>
            <w:lang w:eastAsia="fr-FR"/>
          </w:rPr>
          <w:t>II de l'article 67 de la loi n° 2008-1425 du 27 décembre 2008</w:t>
        </w:r>
      </w:hyperlink>
      <w:r w:rsidRPr="00874A27">
        <w:rPr>
          <w:rFonts w:ascii="Arial" w:eastAsia="Times New Roman" w:hAnsi="Arial" w:cs="Arial"/>
          <w:color w:val="000000"/>
          <w:sz w:val="19"/>
          <w:szCs w:val="19"/>
          <w:lang w:eastAsia="fr-FR"/>
        </w:rPr>
        <w:t> de finances pour 2009, les mots : « le premier alinéa » sont remplacés par les mots : « les cinq premiers alinéas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49" w:name="JORFARTI000028774638"/>
      <w:bookmarkEnd w:id="149"/>
      <w:r w:rsidRPr="00874A27">
        <w:rPr>
          <w:rFonts w:ascii="Arial" w:eastAsia="Times New Roman" w:hAnsi="Arial" w:cs="Arial"/>
          <w:b/>
          <w:bCs/>
          <w:color w:val="000000"/>
          <w:sz w:val="23"/>
          <w:szCs w:val="23"/>
          <w:lang w:eastAsia="fr-FR"/>
        </w:rPr>
        <w:t>Article 150 </w:t>
      </w:r>
      <w:hyperlink r:id="rId621" w:tooltip="En savoir plus sur l'article 15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Après l'article L. 213-1 du code de l'urbanisme, il est inséré un article L. 213-1-1 ainsi rédigé :</w:t>
      </w:r>
      <w:r w:rsidRPr="00874A27">
        <w:rPr>
          <w:rFonts w:ascii="Arial" w:eastAsia="Times New Roman" w:hAnsi="Arial" w:cs="Arial"/>
          <w:color w:val="000000"/>
          <w:sz w:val="19"/>
          <w:szCs w:val="19"/>
          <w:lang w:eastAsia="fr-FR"/>
        </w:rPr>
        <w:br/>
        <w:t>« Art. L. 213-1-1.-Sont également soumis au droit de préemption les immeubles ou ensembles de droits sociaux mentionnés au 1° de l'article L. 213-1 lorsqu'ils font l'objet d'une aliénation à titre gratuit, sauf si celle-ci est effectuée entre personnes ayant des liens de parenté jusqu'au sixième degré ou des liens issus d'un mariage ou d'un pacte civil de solidarité.</w:t>
      </w:r>
      <w:r w:rsidRPr="00874A27">
        <w:rPr>
          <w:rFonts w:ascii="Arial" w:eastAsia="Times New Roman" w:hAnsi="Arial" w:cs="Arial"/>
          <w:color w:val="000000"/>
          <w:sz w:val="19"/>
          <w:szCs w:val="19"/>
          <w:lang w:eastAsia="fr-FR"/>
        </w:rPr>
        <w:br/>
        <w:t>« Le présent chapitre est applicable aux aliénations mentionnées au premier alinéa. Toutefois, par dérogation au premier alinéa de l'article L. 213-2, la déclaration adressée à la mairie ne mentionne pas le prix. La décision du titulaire du droit de préemption d'acquérir le bien indique l'estimation de celui-ci par les services fiscaux.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50" w:name="JORFARTI000028774641"/>
      <w:bookmarkEnd w:id="150"/>
      <w:r w:rsidRPr="00874A27">
        <w:rPr>
          <w:rFonts w:ascii="Arial" w:eastAsia="Times New Roman" w:hAnsi="Arial" w:cs="Arial"/>
          <w:b/>
          <w:bCs/>
          <w:color w:val="000000"/>
          <w:sz w:val="23"/>
          <w:szCs w:val="23"/>
          <w:lang w:eastAsia="fr-FR"/>
        </w:rPr>
        <w:t>Article 151 </w:t>
      </w:r>
      <w:hyperlink r:id="rId622" w:tooltip="En savoir plus sur l'article 15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d de l'article L. 422-2 du même code est ainsi rédigé :</w:t>
      </w:r>
      <w:r w:rsidRPr="00874A27">
        <w:rPr>
          <w:rFonts w:ascii="Arial" w:eastAsia="Times New Roman" w:hAnsi="Arial" w:cs="Arial"/>
          <w:color w:val="000000"/>
          <w:sz w:val="19"/>
          <w:szCs w:val="19"/>
          <w:lang w:eastAsia="fr-FR"/>
        </w:rPr>
        <w:br/>
        <w:t>« d) Les opérations de logement situées dans les secteurs arrêtés par le préfet en application du </w:t>
      </w:r>
      <w:hyperlink r:id="rId623" w:history="1">
        <w:r w:rsidRPr="00874A27">
          <w:rPr>
            <w:rFonts w:ascii="Arial" w:eastAsia="Times New Roman" w:hAnsi="Arial" w:cs="Arial"/>
            <w:color w:val="336699"/>
            <w:sz w:val="19"/>
            <w:szCs w:val="19"/>
            <w:u w:val="single"/>
            <w:lang w:eastAsia="fr-FR"/>
          </w:rPr>
          <w:t>deuxième alinéa de l'article L. 302-9-1 du code de la construction et de l'habitation </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II. ― Après la première phrase du deuxième alinéa de l'article L. 302-9-1 du code de la construction et de l'habitation, est insérée une phrase ainsi rédigée :</w:t>
      </w:r>
      <w:r w:rsidRPr="00874A27">
        <w:rPr>
          <w:rFonts w:ascii="Arial" w:eastAsia="Times New Roman" w:hAnsi="Arial" w:cs="Arial"/>
          <w:color w:val="000000"/>
          <w:sz w:val="19"/>
          <w:szCs w:val="19"/>
          <w:lang w:eastAsia="fr-FR"/>
        </w:rPr>
        <w:br/>
        <w:t>« Cet arrêté peut aussi prévoir les secteurs dans lesquels le préfet est compétent pour délivrer les autorisations d'utilisation et d'occupation du sol pour des constructions à usage de logements.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51" w:name="JORFARTI000028774646"/>
      <w:bookmarkEnd w:id="151"/>
      <w:r w:rsidRPr="00874A27">
        <w:rPr>
          <w:rFonts w:ascii="Arial" w:eastAsia="Times New Roman" w:hAnsi="Arial" w:cs="Arial"/>
          <w:b/>
          <w:bCs/>
          <w:color w:val="000000"/>
          <w:sz w:val="23"/>
          <w:szCs w:val="23"/>
          <w:lang w:eastAsia="fr-FR"/>
        </w:rPr>
        <w:t>Article 152 </w:t>
      </w:r>
      <w:hyperlink r:id="rId624" w:tooltip="En savoir plus sur l'article 15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713 du code civil est ainsi rédigé :</w:t>
      </w:r>
      <w:r w:rsidRPr="00874A27">
        <w:rPr>
          <w:rFonts w:ascii="Arial" w:eastAsia="Times New Roman" w:hAnsi="Arial" w:cs="Arial"/>
          <w:color w:val="000000"/>
          <w:sz w:val="19"/>
          <w:szCs w:val="19"/>
          <w:lang w:eastAsia="fr-FR"/>
        </w:rPr>
        <w:br/>
        <w:t>« Art. 713.-Les biens qui n'ont pas de maître appartiennent à la commune sur le territoire de laquelle ils sont situés. Par délibération du conseil municipal, la commune peut renoncer à exercer ses droits, sur tout ou partie de son territoire, au profit de l'établissement public de coopération intercommunale à fiscalité propre dont elle est membre. Les biens sans maître sont alors réputés appartenir à l'établissement public de coopération intercommunale à fiscalité propre.</w:t>
      </w:r>
      <w:r w:rsidRPr="00874A27">
        <w:rPr>
          <w:rFonts w:ascii="Arial" w:eastAsia="Times New Roman" w:hAnsi="Arial" w:cs="Arial"/>
          <w:color w:val="000000"/>
          <w:sz w:val="19"/>
          <w:szCs w:val="19"/>
          <w:lang w:eastAsia="fr-FR"/>
        </w:rPr>
        <w:br/>
        <w:t>« Toutefois, la propriété est transférée de plein droit à l'Etat si la commune renonce à exercer ses droits en l'absence de délibération telle que définie au premier alinéa ou si l'établissement public de coopération intercommunale à fiscalité propre renonce à exercer ses droits. »</w:t>
      </w:r>
      <w:r w:rsidRPr="00874A27">
        <w:rPr>
          <w:rFonts w:ascii="Arial" w:eastAsia="Times New Roman" w:hAnsi="Arial" w:cs="Arial"/>
          <w:color w:val="000000"/>
          <w:sz w:val="19"/>
          <w:szCs w:val="19"/>
          <w:lang w:eastAsia="fr-FR"/>
        </w:rPr>
        <w:br/>
        <w:t>II. ― Le code général de la propriété des personnes publiques est ainsi modifié :</w:t>
      </w:r>
      <w:r w:rsidRPr="00874A27">
        <w:rPr>
          <w:rFonts w:ascii="Arial" w:eastAsia="Times New Roman" w:hAnsi="Arial" w:cs="Arial"/>
          <w:color w:val="000000"/>
          <w:sz w:val="19"/>
          <w:szCs w:val="19"/>
          <w:lang w:eastAsia="fr-FR"/>
        </w:rPr>
        <w:br/>
        <w:t>1° L'article L. 1123-3 est ainsi modifié :</w:t>
      </w:r>
      <w:r w:rsidRPr="00874A27">
        <w:rPr>
          <w:rFonts w:ascii="Arial" w:eastAsia="Times New Roman" w:hAnsi="Arial" w:cs="Arial"/>
          <w:color w:val="000000"/>
          <w:sz w:val="19"/>
          <w:szCs w:val="19"/>
          <w:lang w:eastAsia="fr-FR"/>
        </w:rPr>
        <w:br/>
        <w:t>a) Aux deux premières phrases du deuxième alinéa, après le mot : « maire », sont insérés les mots : « ou du président de l'établissement public de coopération intercommunale à fiscalité propre » ;</w:t>
      </w:r>
      <w:r w:rsidRPr="00874A27">
        <w:rPr>
          <w:rFonts w:ascii="Arial" w:eastAsia="Times New Roman" w:hAnsi="Arial" w:cs="Arial"/>
          <w:color w:val="000000"/>
          <w:sz w:val="19"/>
          <w:szCs w:val="19"/>
          <w:lang w:eastAsia="fr-FR"/>
        </w:rPr>
        <w:br/>
        <w:t>b) Les deux dernières phrases du quatrième alinéa sont ainsi rédigées :</w:t>
      </w:r>
      <w:r w:rsidRPr="00874A27">
        <w:rPr>
          <w:rFonts w:ascii="Arial" w:eastAsia="Times New Roman" w:hAnsi="Arial" w:cs="Arial"/>
          <w:color w:val="000000"/>
          <w:sz w:val="19"/>
          <w:szCs w:val="19"/>
          <w:lang w:eastAsia="fr-FR"/>
        </w:rPr>
        <w:br/>
        <w:t>« La commune ou l'établissement public de coopération intercommunale à fiscalité propre peut, par délibération de son organe délibérant, l'incorporer dans son domaine. Cette incorporation est constatée par arrêté du maire ou du président de l'établissement public de coopération intercommunale à fiscalité propre.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2° L'article L. 2222-20 est ainsi modifié :</w:t>
      </w:r>
      <w:r w:rsidRPr="00874A27">
        <w:rPr>
          <w:rFonts w:ascii="Arial" w:eastAsia="Times New Roman" w:hAnsi="Arial" w:cs="Arial"/>
          <w:color w:val="000000"/>
          <w:sz w:val="19"/>
          <w:szCs w:val="19"/>
          <w:lang w:eastAsia="fr-FR"/>
        </w:rPr>
        <w:br/>
        <w:t>a) Le premier alinéa est ainsi modifié :</w:t>
      </w:r>
      <w:r w:rsidRPr="00874A27">
        <w:rPr>
          <w:rFonts w:ascii="Arial" w:eastAsia="Times New Roman" w:hAnsi="Arial" w:cs="Arial"/>
          <w:color w:val="000000"/>
          <w:sz w:val="19"/>
          <w:szCs w:val="19"/>
          <w:lang w:eastAsia="fr-FR"/>
        </w:rPr>
        <w:br/>
        <w:t>― à la première phrase, après le mot : « commune », sont insérés les mots : «, à un établissement public de coopération intercommunale à fiscalité propre » ;</w:t>
      </w:r>
      <w:r w:rsidRPr="00874A27">
        <w:rPr>
          <w:rFonts w:ascii="Arial" w:eastAsia="Times New Roman" w:hAnsi="Arial" w:cs="Arial"/>
          <w:color w:val="000000"/>
          <w:sz w:val="19"/>
          <w:szCs w:val="19"/>
          <w:lang w:eastAsia="fr-FR"/>
        </w:rPr>
        <w:br/>
        <w:t>― à la dernière phrase, après le mot : « commune », sont insérés les mots : «, de l'établissement public de coopération intercommunale à fiscalité propre » ;</w:t>
      </w:r>
      <w:r w:rsidRPr="00874A27">
        <w:rPr>
          <w:rFonts w:ascii="Arial" w:eastAsia="Times New Roman" w:hAnsi="Arial" w:cs="Arial"/>
          <w:color w:val="000000"/>
          <w:sz w:val="19"/>
          <w:szCs w:val="19"/>
          <w:lang w:eastAsia="fr-FR"/>
        </w:rPr>
        <w:br/>
        <w:t>b) Au dernier alinéa, après le mot : « commune », sont insérés les mots : «, par l'établissement public de coopération intercommunale à fiscalité propre,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52" w:name="JORFARTI000028774654"/>
      <w:bookmarkEnd w:id="152"/>
      <w:r w:rsidRPr="00874A27">
        <w:rPr>
          <w:rFonts w:ascii="Arial" w:eastAsia="Times New Roman" w:hAnsi="Arial" w:cs="Arial"/>
          <w:b/>
          <w:bCs/>
          <w:color w:val="000000"/>
          <w:sz w:val="23"/>
          <w:szCs w:val="23"/>
          <w:lang w:eastAsia="fr-FR"/>
        </w:rPr>
        <w:t>Article 153 </w:t>
      </w:r>
      <w:hyperlink r:id="rId625" w:tooltip="En savoir plus sur l'article 15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[Dispositions déclarées non conformes à la Constitution par la décision du Conseil constitutionnel n° 2014-691 DC du 20 mars 2014.]</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53" w:name="JORFARTI000028774655"/>
      <w:bookmarkEnd w:id="153"/>
      <w:r w:rsidRPr="00874A27">
        <w:rPr>
          <w:rFonts w:ascii="Arial" w:eastAsia="Times New Roman" w:hAnsi="Arial" w:cs="Arial"/>
          <w:b/>
          <w:bCs/>
          <w:color w:val="000000"/>
          <w:sz w:val="23"/>
          <w:szCs w:val="23"/>
          <w:lang w:eastAsia="fr-FR"/>
        </w:rPr>
        <w:t>Article 154 </w:t>
      </w:r>
      <w:hyperlink r:id="rId626" w:tooltip="En savoir plus sur l'article 15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général des collectivités territoriales est ainsi modifié :</w:t>
      </w:r>
      <w:r w:rsidRPr="00874A27">
        <w:rPr>
          <w:rFonts w:ascii="Arial" w:eastAsia="Times New Roman" w:hAnsi="Arial" w:cs="Arial"/>
          <w:color w:val="000000"/>
          <w:sz w:val="19"/>
          <w:szCs w:val="19"/>
          <w:lang w:eastAsia="fr-FR"/>
        </w:rPr>
        <w:br/>
        <w:t>1° L'article L. 3221-12est ainsi modifié :</w:t>
      </w:r>
      <w:r w:rsidRPr="00874A27">
        <w:rPr>
          <w:rFonts w:ascii="Arial" w:eastAsia="Times New Roman" w:hAnsi="Arial" w:cs="Arial"/>
          <w:color w:val="000000"/>
          <w:sz w:val="19"/>
          <w:szCs w:val="19"/>
          <w:lang w:eastAsia="fr-FR"/>
        </w:rPr>
        <w:br/>
        <w:t>a) A la fin de la première phrase, les mots : « le droit de préemption dans les espaces naturels sensibles, tel qu'il est défini à l'</w:t>
      </w:r>
      <w:hyperlink r:id="rId627" w:history="1">
        <w:r w:rsidRPr="00874A27">
          <w:rPr>
            <w:rFonts w:ascii="Arial" w:eastAsia="Times New Roman" w:hAnsi="Arial" w:cs="Arial"/>
            <w:color w:val="336699"/>
            <w:sz w:val="19"/>
            <w:szCs w:val="19"/>
            <w:u w:val="single"/>
            <w:lang w:eastAsia="fr-FR"/>
          </w:rPr>
          <w:t>article L. 142-3 du code de l'urbanisme </w:t>
        </w:r>
      </w:hyperlink>
      <w:r w:rsidRPr="00874A27">
        <w:rPr>
          <w:rFonts w:ascii="Arial" w:eastAsia="Times New Roman" w:hAnsi="Arial" w:cs="Arial"/>
          <w:color w:val="000000"/>
          <w:sz w:val="19"/>
          <w:szCs w:val="19"/>
          <w:lang w:eastAsia="fr-FR"/>
        </w:rPr>
        <w:t>» sont remplacés par les mots : « les droits de préemption dont celui-ci est titulaire ou délégataire en application du </w:t>
      </w:r>
      <w:hyperlink r:id="rId628" w:history="1">
        <w:r w:rsidRPr="00874A27">
          <w:rPr>
            <w:rFonts w:ascii="Arial" w:eastAsia="Times New Roman" w:hAnsi="Arial" w:cs="Arial"/>
            <w:color w:val="336699"/>
            <w:sz w:val="19"/>
            <w:szCs w:val="19"/>
            <w:u w:val="single"/>
            <w:lang w:eastAsia="fr-FR"/>
          </w:rPr>
          <w:t>code de l'urbanisme </w:t>
        </w:r>
      </w:hyperlink>
      <w:r w:rsidRPr="00874A27">
        <w:rPr>
          <w:rFonts w:ascii="Arial" w:eastAsia="Times New Roman" w:hAnsi="Arial" w:cs="Arial"/>
          <w:color w:val="000000"/>
          <w:sz w:val="19"/>
          <w:szCs w:val="19"/>
          <w:lang w:eastAsia="fr-FR"/>
        </w:rPr>
        <w:t>» ;</w:t>
      </w:r>
      <w:r w:rsidRPr="00874A27">
        <w:rPr>
          <w:rFonts w:ascii="Arial" w:eastAsia="Times New Roman" w:hAnsi="Arial" w:cs="Arial"/>
          <w:color w:val="000000"/>
          <w:sz w:val="19"/>
          <w:szCs w:val="19"/>
          <w:lang w:eastAsia="fr-FR"/>
        </w:rPr>
        <w:br/>
        <w:t>b) Est ajoutée une phrase ainsi rédigée :</w:t>
      </w:r>
      <w:r w:rsidRPr="00874A27">
        <w:rPr>
          <w:rFonts w:ascii="Arial" w:eastAsia="Times New Roman" w:hAnsi="Arial" w:cs="Arial"/>
          <w:color w:val="000000"/>
          <w:sz w:val="19"/>
          <w:szCs w:val="19"/>
          <w:lang w:eastAsia="fr-FR"/>
        </w:rPr>
        <w:br/>
        <w:t>« Il rend compte à la plus proche réunion utile du conseil général de l'exercice de cette compétence. » ;</w:t>
      </w:r>
      <w:r w:rsidRPr="00874A27">
        <w:rPr>
          <w:rFonts w:ascii="Arial" w:eastAsia="Times New Roman" w:hAnsi="Arial" w:cs="Arial"/>
          <w:color w:val="000000"/>
          <w:sz w:val="19"/>
          <w:szCs w:val="19"/>
          <w:lang w:eastAsia="fr-FR"/>
        </w:rPr>
        <w:br/>
        <w:t>2° Après l'article L. 4231-8-1, il est inséré un article L. 4231-8-2 ainsi rédigé :</w:t>
      </w:r>
      <w:r w:rsidRPr="00874A27">
        <w:rPr>
          <w:rFonts w:ascii="Arial" w:eastAsia="Times New Roman" w:hAnsi="Arial" w:cs="Arial"/>
          <w:color w:val="000000"/>
          <w:sz w:val="19"/>
          <w:szCs w:val="19"/>
          <w:lang w:eastAsia="fr-FR"/>
        </w:rPr>
        <w:br/>
        <w:t>« Art. L. 4231-8-2.-Le président du conseil régional peut, par délégation du conseil régional, être chargé d'exercer, au nom de la région, les droits de préemption dont elle est titulaire ou délégataire en application du </w:t>
      </w:r>
      <w:hyperlink r:id="rId629" w:history="1">
        <w:r w:rsidRPr="00874A27">
          <w:rPr>
            <w:rFonts w:ascii="Arial" w:eastAsia="Times New Roman" w:hAnsi="Arial" w:cs="Arial"/>
            <w:color w:val="336699"/>
            <w:sz w:val="19"/>
            <w:szCs w:val="19"/>
            <w:u w:val="single"/>
            <w:lang w:eastAsia="fr-FR"/>
          </w:rPr>
          <w:t>code de l'urbanisme</w:t>
        </w:r>
      </w:hyperlink>
      <w:r w:rsidRPr="00874A27">
        <w:rPr>
          <w:rFonts w:ascii="Arial" w:eastAsia="Times New Roman" w:hAnsi="Arial" w:cs="Arial"/>
          <w:color w:val="000000"/>
          <w:sz w:val="19"/>
          <w:szCs w:val="19"/>
          <w:lang w:eastAsia="fr-FR"/>
        </w:rPr>
        <w:t>. Il rend compte à la plus proche réunion utile du conseil régional de l'exercice de cette compétence. » ;</w:t>
      </w:r>
      <w:r w:rsidRPr="00874A27">
        <w:rPr>
          <w:rFonts w:ascii="Arial" w:eastAsia="Times New Roman" w:hAnsi="Arial" w:cs="Arial"/>
          <w:color w:val="000000"/>
          <w:sz w:val="19"/>
          <w:szCs w:val="19"/>
          <w:lang w:eastAsia="fr-FR"/>
        </w:rPr>
        <w:br/>
        <w:t>3° Avant le dernier alinéa de l'article L. 5211-9, il est inséré un alinéa ainsi rédigé :</w:t>
      </w:r>
      <w:r w:rsidRPr="00874A27">
        <w:rPr>
          <w:rFonts w:ascii="Arial" w:eastAsia="Times New Roman" w:hAnsi="Arial" w:cs="Arial"/>
          <w:color w:val="000000"/>
          <w:sz w:val="19"/>
          <w:szCs w:val="19"/>
          <w:lang w:eastAsia="fr-FR"/>
        </w:rPr>
        <w:br/>
        <w:t>« Le président de l'établissement public de coopération intercommunale peut, par délégation de son organe délibérant, être chargé d'exercer, au nom de l'établissement, les droits de préemption dont celui-ci est titulaire ou délégataire en application du </w:t>
      </w:r>
      <w:hyperlink r:id="rId630" w:history="1">
        <w:r w:rsidRPr="00874A27">
          <w:rPr>
            <w:rFonts w:ascii="Arial" w:eastAsia="Times New Roman" w:hAnsi="Arial" w:cs="Arial"/>
            <w:color w:val="336699"/>
            <w:sz w:val="19"/>
            <w:szCs w:val="19"/>
            <w:u w:val="single"/>
            <w:lang w:eastAsia="fr-FR"/>
          </w:rPr>
          <w:t>code de l'urbanisme</w:t>
        </w:r>
      </w:hyperlink>
      <w:r w:rsidRPr="00874A27">
        <w:rPr>
          <w:rFonts w:ascii="Arial" w:eastAsia="Times New Roman" w:hAnsi="Arial" w:cs="Arial"/>
          <w:color w:val="000000"/>
          <w:sz w:val="19"/>
          <w:szCs w:val="19"/>
          <w:lang w:eastAsia="fr-FR"/>
        </w:rPr>
        <w:t>. Il peut également déléguer l'exercice de ce droit à l'occasion de l'aliénation d'un bien, dans les conditions que fixe l'organe délibérant de l'établissement. Il rend compte à la plus proche réunion utile de l'organe délibérant de l'exercice de cette compétence. »</w:t>
      </w:r>
      <w:r w:rsidRPr="00874A27">
        <w:rPr>
          <w:rFonts w:ascii="Arial" w:eastAsia="Times New Roman" w:hAnsi="Arial" w:cs="Arial"/>
          <w:color w:val="000000"/>
          <w:sz w:val="19"/>
          <w:szCs w:val="19"/>
          <w:lang w:eastAsia="fr-FR"/>
        </w:rPr>
        <w:br/>
        <w:t>II. ― L'article L. 240-1 du code de l'urbanisme est complété par un alinéa ainsi rédigé :</w:t>
      </w:r>
      <w:r w:rsidRPr="00874A27">
        <w:rPr>
          <w:rFonts w:ascii="Arial" w:eastAsia="Times New Roman" w:hAnsi="Arial" w:cs="Arial"/>
          <w:color w:val="000000"/>
          <w:sz w:val="19"/>
          <w:szCs w:val="19"/>
          <w:lang w:eastAsia="fr-FR"/>
        </w:rPr>
        <w:br/>
        <w:t>« Les établissements publics de coopération intercommunale à fiscalité propre peuvent exercer le droit de priorité au bénéfice des actions ou d'opérations répondant aux objets définis à l'article L. 300-1 ou pour constituer des réserves foncières en vue de permettre la réalisation de telles actions ou opérations. »</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4 : Géomètres-experts</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54" w:name="JORFARTI000028774670"/>
      <w:bookmarkEnd w:id="154"/>
      <w:r w:rsidRPr="00874A27">
        <w:rPr>
          <w:rFonts w:ascii="Arial" w:eastAsia="Times New Roman" w:hAnsi="Arial" w:cs="Arial"/>
          <w:b/>
          <w:bCs/>
          <w:color w:val="000000"/>
          <w:sz w:val="23"/>
          <w:szCs w:val="23"/>
          <w:lang w:eastAsia="fr-FR"/>
        </w:rPr>
        <w:t>Article 155 </w:t>
      </w:r>
      <w:hyperlink r:id="rId631" w:tooltip="En savoir plus sur l'article 15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 loi n° 46-942 du 7 mai 1946 instituant l'Ordre des géomètres-experts est ainsi modifiée :</w:t>
      </w:r>
      <w:r w:rsidRPr="00874A27">
        <w:rPr>
          <w:rFonts w:ascii="Arial" w:eastAsia="Times New Roman" w:hAnsi="Arial" w:cs="Arial"/>
          <w:color w:val="000000"/>
          <w:sz w:val="19"/>
          <w:szCs w:val="19"/>
          <w:lang w:eastAsia="fr-FR"/>
        </w:rPr>
        <w:br/>
        <w:t>1° L'article 26 est ainsi rédigé :</w:t>
      </w:r>
      <w:r w:rsidRPr="00874A27">
        <w:rPr>
          <w:rFonts w:ascii="Arial" w:eastAsia="Times New Roman" w:hAnsi="Arial" w:cs="Arial"/>
          <w:color w:val="000000"/>
          <w:sz w:val="19"/>
          <w:szCs w:val="19"/>
          <w:lang w:eastAsia="fr-FR"/>
        </w:rPr>
        <w:br/>
        <w:t>« Art. 26.-Peuvent demander leur inscription au tableau de l'ordre les personnes exerçant la profession de géomètre-topographe, dans des conditions définies par décret en Conseil d'Etat, qui peuvent prévoir que le stage mentionné à l'article 4 est réalisé au sein de l'entreprise où ces personnes exercent leur activité. » ;</w:t>
      </w:r>
      <w:r w:rsidRPr="00874A27">
        <w:rPr>
          <w:rFonts w:ascii="Arial" w:eastAsia="Times New Roman" w:hAnsi="Arial" w:cs="Arial"/>
          <w:color w:val="000000"/>
          <w:sz w:val="19"/>
          <w:szCs w:val="19"/>
          <w:lang w:eastAsia="fr-FR"/>
        </w:rPr>
        <w:br/>
        <w:t>2° Les articles 27 à 29 sont abrogés.</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55" w:name="JORFARTI000028774674"/>
      <w:bookmarkEnd w:id="155"/>
      <w:r w:rsidRPr="00874A27">
        <w:rPr>
          <w:rFonts w:ascii="Arial" w:eastAsia="Times New Roman" w:hAnsi="Arial" w:cs="Arial"/>
          <w:b/>
          <w:bCs/>
          <w:color w:val="000000"/>
          <w:sz w:val="23"/>
          <w:szCs w:val="23"/>
          <w:lang w:eastAsia="fr-FR"/>
        </w:rPr>
        <w:t>Article 156 </w:t>
      </w:r>
      <w:hyperlink r:id="rId632" w:tooltip="En savoir plus sur l'article 15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Le III de l'article 30 de la loi n° 46-942 du 7 mai 1946 précitée est ainsi rédigé :</w:t>
      </w:r>
      <w:r w:rsidRPr="00874A27">
        <w:rPr>
          <w:rFonts w:ascii="Arial" w:eastAsia="Times New Roman" w:hAnsi="Arial" w:cs="Arial"/>
          <w:color w:val="000000"/>
          <w:sz w:val="19"/>
          <w:szCs w:val="19"/>
          <w:lang w:eastAsia="fr-FR"/>
        </w:rPr>
        <w:br/>
        <w:t>« III. ― Par dérogation au premier alinéa de l'article 12, il est créé, à compter de la date d'entrée en vigueur de la </w:t>
      </w:r>
      <w:hyperlink r:id="rId633" w:history="1">
        <w:r w:rsidRPr="00874A27">
          <w:rPr>
            <w:rFonts w:ascii="Arial" w:eastAsia="Times New Roman" w:hAnsi="Arial" w:cs="Arial"/>
            <w:color w:val="336699"/>
            <w:sz w:val="19"/>
            <w:szCs w:val="19"/>
            <w:u w:val="single"/>
            <w:lang w:eastAsia="fr-FR"/>
          </w:rPr>
          <w:t>loi n° 2014-366 du 24 mars 2014 </w:t>
        </w:r>
      </w:hyperlink>
      <w:r w:rsidRPr="00874A27">
        <w:rPr>
          <w:rFonts w:ascii="Arial" w:eastAsia="Times New Roman" w:hAnsi="Arial" w:cs="Arial"/>
          <w:color w:val="000000"/>
          <w:sz w:val="19"/>
          <w:szCs w:val="19"/>
          <w:lang w:eastAsia="fr-FR"/>
        </w:rPr>
        <w:t>pour l'accès au logement et un urbanisme rénové, un conseil régional de La Réunion et Mayotte composé de six membres, représentant les membres de l'ordre des géomètres-experts exerçant à La Réunion et à Mayotte. Par dérogation au deuxième alinéa du même article 12, pendant une période transitoire de six ans à compter de la date d'entrée en vigueur de la </w:t>
      </w:r>
      <w:hyperlink r:id="rId634" w:history="1">
        <w:r w:rsidRPr="00874A27">
          <w:rPr>
            <w:rFonts w:ascii="Arial" w:eastAsia="Times New Roman" w:hAnsi="Arial" w:cs="Arial"/>
            <w:color w:val="336699"/>
            <w:sz w:val="19"/>
            <w:szCs w:val="19"/>
            <w:u w:val="single"/>
            <w:lang w:eastAsia="fr-FR"/>
          </w:rPr>
          <w:t>loi n° 2014-366 du 24 mars 2014 précitée</w:t>
        </w:r>
      </w:hyperlink>
      <w:r w:rsidRPr="00874A27">
        <w:rPr>
          <w:rFonts w:ascii="Arial" w:eastAsia="Times New Roman" w:hAnsi="Arial" w:cs="Arial"/>
          <w:color w:val="000000"/>
          <w:sz w:val="19"/>
          <w:szCs w:val="19"/>
          <w:lang w:eastAsia="fr-FR"/>
        </w:rPr>
        <w:t>, un tiers des membres du conseil régional est désigné par le président du Conseil supérieur de l'ordre des géomètres-experts. »</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5 : Clarification du règlement du plan local d'urbanisme et autres mesures de densification</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56" w:name="JORFARTI000028774678"/>
      <w:bookmarkEnd w:id="156"/>
      <w:r w:rsidRPr="00874A27">
        <w:rPr>
          <w:rFonts w:ascii="Arial" w:eastAsia="Times New Roman" w:hAnsi="Arial" w:cs="Arial"/>
          <w:b/>
          <w:bCs/>
          <w:color w:val="000000"/>
          <w:sz w:val="23"/>
          <w:szCs w:val="23"/>
          <w:lang w:eastAsia="fr-FR"/>
        </w:rPr>
        <w:t>Article 157 </w:t>
      </w:r>
      <w:hyperlink r:id="rId635" w:tooltip="En savoir plus sur l'article 15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123-1-5 du code de l'urbanisme est ainsi rédigé :</w:t>
      </w:r>
      <w:r w:rsidRPr="00874A27">
        <w:rPr>
          <w:rFonts w:ascii="Arial" w:eastAsia="Times New Roman" w:hAnsi="Arial" w:cs="Arial"/>
          <w:color w:val="000000"/>
          <w:sz w:val="19"/>
          <w:szCs w:val="19"/>
          <w:lang w:eastAsia="fr-FR"/>
        </w:rPr>
        <w:br/>
        <w:t>« Art. L. 123-1-5.-I. ― Le règlement fixe, en cohérence avec le projet d'aménagement et de développement durables, les règles générales et les servitudes d'utilisation des sols permettant d'atteindre les objectifs mentionnés à l'article L. 121-1, qui peuvent notamment comporter l'interdiction de construire, délimite les zones urbaines ou à urbaniser et les zones naturelles ou agricoles et forestières à protéger et définit, en fonction des circonstances locales, les règles concernant l'implantation des constructions.</w:t>
      </w:r>
      <w:r w:rsidRPr="00874A27">
        <w:rPr>
          <w:rFonts w:ascii="Arial" w:eastAsia="Times New Roman" w:hAnsi="Arial" w:cs="Arial"/>
          <w:color w:val="000000"/>
          <w:sz w:val="19"/>
          <w:szCs w:val="19"/>
          <w:lang w:eastAsia="fr-FR"/>
        </w:rPr>
        <w:br/>
        <w:t>« II. ― Le règlement peut fixer les règles suivantes relatives à l'usage des sols et la destination des constructions :</w:t>
      </w:r>
      <w:r w:rsidRPr="00874A27">
        <w:rPr>
          <w:rFonts w:ascii="Arial" w:eastAsia="Times New Roman" w:hAnsi="Arial" w:cs="Arial"/>
          <w:color w:val="000000"/>
          <w:sz w:val="19"/>
          <w:szCs w:val="19"/>
          <w:lang w:eastAsia="fr-FR"/>
        </w:rPr>
        <w:br/>
        <w:t>« 1° Préciser l'affectation des sols selon les usages principaux qui peuvent en être faits ou la nature des activités qui peuvent y être exercées ;</w:t>
      </w:r>
      <w:r w:rsidRPr="00874A27">
        <w:rPr>
          <w:rFonts w:ascii="Arial" w:eastAsia="Times New Roman" w:hAnsi="Arial" w:cs="Arial"/>
          <w:color w:val="000000"/>
          <w:sz w:val="19"/>
          <w:szCs w:val="19"/>
          <w:lang w:eastAsia="fr-FR"/>
        </w:rPr>
        <w:br/>
        <w:t>« 2° Définir, en fonction des situations locales, les règles concernant la destination et la nature des constructions autorisées ;</w:t>
      </w:r>
      <w:r w:rsidRPr="00874A27">
        <w:rPr>
          <w:rFonts w:ascii="Arial" w:eastAsia="Times New Roman" w:hAnsi="Arial" w:cs="Arial"/>
          <w:color w:val="000000"/>
          <w:sz w:val="19"/>
          <w:szCs w:val="19"/>
          <w:lang w:eastAsia="fr-FR"/>
        </w:rPr>
        <w:br/>
        <w:t>« 3° Délimiter, dans les zones urbaines ou à urbaniser, des secteurs dans lesquels les programmes de logements comportent une proportion de logements d'une taille minimale qu'il fixe ;</w:t>
      </w:r>
      <w:r w:rsidRPr="00874A27">
        <w:rPr>
          <w:rFonts w:ascii="Arial" w:eastAsia="Times New Roman" w:hAnsi="Arial" w:cs="Arial"/>
          <w:color w:val="000000"/>
          <w:sz w:val="19"/>
          <w:szCs w:val="19"/>
          <w:lang w:eastAsia="fr-FR"/>
        </w:rPr>
        <w:br/>
        <w:t>« 4° Délimiter, dans les zones urbaines ou à urbaniser, des secteurs dans lesquels, en cas de réalisation d'un programme de logements, un pourcentage de ce programme est affecté à des catégories de logements qu'il définit dans le respect des objectifs de mixité sociale ;</w:t>
      </w:r>
      <w:r w:rsidRPr="00874A27">
        <w:rPr>
          <w:rFonts w:ascii="Arial" w:eastAsia="Times New Roman" w:hAnsi="Arial" w:cs="Arial"/>
          <w:color w:val="000000"/>
          <w:sz w:val="19"/>
          <w:szCs w:val="19"/>
          <w:lang w:eastAsia="fr-FR"/>
        </w:rPr>
        <w:br/>
        <w:t>« 5° Identifier et délimiter les quartiers, îlots et voies dans lesquels doit être préservée ou développée la diversité commerciale, notamment à travers les commerces de détail et de proximité, et définir, le cas échéant, les prescriptions de nature à assurer cet objectif ;</w:t>
      </w:r>
      <w:r w:rsidRPr="00874A27">
        <w:rPr>
          <w:rFonts w:ascii="Arial" w:eastAsia="Times New Roman" w:hAnsi="Arial" w:cs="Arial"/>
          <w:color w:val="000000"/>
          <w:sz w:val="19"/>
          <w:szCs w:val="19"/>
          <w:lang w:eastAsia="fr-FR"/>
        </w:rPr>
        <w:br/>
        <w:t>« 6° A titre exceptionnel, délimiter dans les zones naturelles, agricoles ou forestières des secteurs de taille et de capacité d'accueil limitées dans lesquels peuvent être autorisés :</w:t>
      </w:r>
      <w:r w:rsidRPr="00874A27">
        <w:rPr>
          <w:rFonts w:ascii="Arial" w:eastAsia="Times New Roman" w:hAnsi="Arial" w:cs="Arial"/>
          <w:color w:val="000000"/>
          <w:sz w:val="19"/>
          <w:szCs w:val="19"/>
          <w:lang w:eastAsia="fr-FR"/>
        </w:rPr>
        <w:br/>
        <w:t>« a) Des constructions ;</w:t>
      </w:r>
      <w:r w:rsidRPr="00874A27">
        <w:rPr>
          <w:rFonts w:ascii="Arial" w:eastAsia="Times New Roman" w:hAnsi="Arial" w:cs="Arial"/>
          <w:color w:val="000000"/>
          <w:sz w:val="19"/>
          <w:szCs w:val="19"/>
          <w:lang w:eastAsia="fr-FR"/>
        </w:rPr>
        <w:br/>
        <w:t>« b) Des aires d'accueil et des terrains familiaux locatifs destinés à l'habitat des gens du voyage au sens de la </w:t>
      </w:r>
      <w:hyperlink r:id="rId636" w:history="1">
        <w:r w:rsidRPr="00874A27">
          <w:rPr>
            <w:rFonts w:ascii="Arial" w:eastAsia="Times New Roman" w:hAnsi="Arial" w:cs="Arial"/>
            <w:color w:val="336699"/>
            <w:sz w:val="19"/>
            <w:szCs w:val="19"/>
            <w:u w:val="single"/>
            <w:lang w:eastAsia="fr-FR"/>
          </w:rPr>
          <w:t>loi n° 2000-614 du 5 juillet 2000 </w:t>
        </w:r>
      </w:hyperlink>
      <w:r w:rsidRPr="00874A27">
        <w:rPr>
          <w:rFonts w:ascii="Arial" w:eastAsia="Times New Roman" w:hAnsi="Arial" w:cs="Arial"/>
          <w:color w:val="000000"/>
          <w:sz w:val="19"/>
          <w:szCs w:val="19"/>
          <w:lang w:eastAsia="fr-FR"/>
        </w:rPr>
        <w:t>relative à l'accueil et à l'habitat des gens du voyage ;</w:t>
      </w:r>
      <w:r w:rsidRPr="00874A27">
        <w:rPr>
          <w:rFonts w:ascii="Arial" w:eastAsia="Times New Roman" w:hAnsi="Arial" w:cs="Arial"/>
          <w:color w:val="000000"/>
          <w:sz w:val="19"/>
          <w:szCs w:val="19"/>
          <w:lang w:eastAsia="fr-FR"/>
        </w:rPr>
        <w:br/>
        <w:t>« c) Des résidences démontables constituant l'habitat permanent de leurs utilisateurs.</w:t>
      </w:r>
      <w:r w:rsidRPr="00874A27">
        <w:rPr>
          <w:rFonts w:ascii="Arial" w:eastAsia="Times New Roman" w:hAnsi="Arial" w:cs="Arial"/>
          <w:color w:val="000000"/>
          <w:sz w:val="19"/>
          <w:szCs w:val="19"/>
          <w:lang w:eastAsia="fr-FR"/>
        </w:rPr>
        <w:br/>
        <w:t>« Le règlement précise les conditions de hauteur, d'implantation et de densité des constructions, permettant d'assurer leur insertion dans l'environnement et leur compatibilité avec le maintien du caractère naturel, agricole ou forestier de la zone. Il fixe les conditions relatives aux raccordements aux réseaux publics, ainsi que les conditions relatives à l'hygiène et à la sécurité auxquelles les constructions, les résidences démontables ou les résidences mobiles doivent satisfaire.</w:t>
      </w:r>
      <w:r w:rsidRPr="00874A27">
        <w:rPr>
          <w:rFonts w:ascii="Arial" w:eastAsia="Times New Roman" w:hAnsi="Arial" w:cs="Arial"/>
          <w:color w:val="000000"/>
          <w:sz w:val="19"/>
          <w:szCs w:val="19"/>
          <w:lang w:eastAsia="fr-FR"/>
        </w:rPr>
        <w:br/>
        <w:t>« Ces secteurs sont délimités après avis de la commission départementale de la consommation des espaces agricoles. Cet avis est réputé favorable s'il n'est pas intervenu dans un délai de trois mois à compter de la saisine.</w:t>
      </w:r>
      <w:r w:rsidRPr="00874A27">
        <w:rPr>
          <w:rFonts w:ascii="Arial" w:eastAsia="Times New Roman" w:hAnsi="Arial" w:cs="Arial"/>
          <w:color w:val="000000"/>
          <w:sz w:val="19"/>
          <w:szCs w:val="19"/>
          <w:lang w:eastAsia="fr-FR"/>
        </w:rPr>
        <w:br/>
        <w:t>« Les constructions existantes situées en dehors de ces secteurs et dans des zones naturelles, agricoles ou forestières ne peuvent faire l'objet que d'une adaptation ou d'une réfection, à l'exclusion de tout changement de destination.</w:t>
      </w:r>
      <w:r w:rsidRPr="00874A27">
        <w:rPr>
          <w:rFonts w:ascii="Arial" w:eastAsia="Times New Roman" w:hAnsi="Arial" w:cs="Arial"/>
          <w:color w:val="000000"/>
          <w:sz w:val="19"/>
          <w:szCs w:val="19"/>
          <w:lang w:eastAsia="fr-FR"/>
        </w:rPr>
        <w:br/>
        <w:t>« Dans les zones agricoles, le règlement peut désigner les bâtiments qui, en raison de leur intérêt architectural ou patrimonial, peuvent faire l'objet d'un changement de destination ou d'une extension limitée, dès lors que ce changement de destination ou cette extension limitée ne compromet pas l'exploitation agricole. Le changement de destination et les autorisations de travaux sont soumis à l'avis conforme de la commission départementale de la consommation des espaces agricoles prévue à l'</w:t>
      </w:r>
      <w:hyperlink r:id="rId637" w:history="1">
        <w:r w:rsidRPr="00874A27">
          <w:rPr>
            <w:rFonts w:ascii="Arial" w:eastAsia="Times New Roman" w:hAnsi="Arial" w:cs="Arial"/>
            <w:color w:val="336699"/>
            <w:sz w:val="19"/>
            <w:szCs w:val="19"/>
            <w:u w:val="single"/>
            <w:lang w:eastAsia="fr-FR"/>
          </w:rPr>
          <w:t>article L. 112-1-1 du code rural et de la pêche maritime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xml:space="preserve">« Dans les zones naturelles, le règlement peut désigner les bâtiments qui, en raison de leur intérêt </w:t>
      </w:r>
      <w:r w:rsidRPr="00874A27">
        <w:rPr>
          <w:rFonts w:ascii="Arial" w:eastAsia="Times New Roman" w:hAnsi="Arial" w:cs="Arial"/>
          <w:color w:val="000000"/>
          <w:sz w:val="19"/>
          <w:szCs w:val="19"/>
          <w:lang w:eastAsia="fr-FR"/>
        </w:rPr>
        <w:lastRenderedPageBreak/>
        <w:t>architectural ou patrimonial, peuvent faire l'objet d'un changement de destination, dès lors que ce changement de destination ne compromet pas l'exploitation agricole ou la qualité paysagère du site. Dans ce cas, les autorisations de travaux sont soumises à l'avis conforme de la commission départementale de la nature, des paysages et des sites.</w:t>
      </w:r>
      <w:r w:rsidRPr="00874A27">
        <w:rPr>
          <w:rFonts w:ascii="Arial" w:eastAsia="Times New Roman" w:hAnsi="Arial" w:cs="Arial"/>
          <w:color w:val="000000"/>
          <w:sz w:val="19"/>
          <w:szCs w:val="19"/>
          <w:lang w:eastAsia="fr-FR"/>
        </w:rPr>
        <w:br/>
        <w:t>« Le septième alinéa du présent 6° n'est applicable ni aux constructions et installations nécessaires à l'exploitation agricole ou forestière, ni aux constructions et installations nécessaires à des équipements collectifs ou à des services publics.</w:t>
      </w:r>
      <w:r w:rsidRPr="00874A27">
        <w:rPr>
          <w:rFonts w:ascii="Arial" w:eastAsia="Times New Roman" w:hAnsi="Arial" w:cs="Arial"/>
          <w:color w:val="000000"/>
          <w:sz w:val="19"/>
          <w:szCs w:val="19"/>
          <w:lang w:eastAsia="fr-FR"/>
        </w:rPr>
        <w:br/>
        <w:t>« III. ― Le règlement peut, en matière de caractéristiques architecturale, urbaine et écologique :</w:t>
      </w:r>
      <w:r w:rsidRPr="00874A27">
        <w:rPr>
          <w:rFonts w:ascii="Arial" w:eastAsia="Times New Roman" w:hAnsi="Arial" w:cs="Arial"/>
          <w:color w:val="000000"/>
          <w:sz w:val="19"/>
          <w:szCs w:val="19"/>
          <w:lang w:eastAsia="fr-FR"/>
        </w:rPr>
        <w:br/>
        <w:t>« 1° Déterminer des règles concernant l'aspect extérieur des constructions neuves, rénovées ou réhabilitées, leurs dimensions, leurs conditions d'alignement sur la voirie et de distance minimale par rapport à la limite séparative et l'aménagement de leurs abords, afin de contribuer à la qualité architecturale et paysagère, à la performance énergétique et à l'insertion des constructions dans le milieu environnant. Des règles peuvent, en outre, imposer une part minimale de surfaces non imperméabilisées ou éco-aménageables, éventuellement pondérées en fonction de leur nature, afin de contribuer au maintien de la biodiversité et de la nature en ville ;</w:t>
      </w:r>
      <w:r w:rsidRPr="00874A27">
        <w:rPr>
          <w:rFonts w:ascii="Arial" w:eastAsia="Times New Roman" w:hAnsi="Arial" w:cs="Arial"/>
          <w:color w:val="000000"/>
          <w:sz w:val="19"/>
          <w:szCs w:val="19"/>
          <w:lang w:eastAsia="fr-FR"/>
        </w:rPr>
        <w:br/>
        <w:t>« 2° Identifier et localiser les éléments de paysage et délimiter les quartiers, îlots, immeubles, espaces publics, monuments, sites et secteurs à protéger, à mettre en valeur ou à requalifier pour des motifs d'ordre culturel, historique, architectural ou écologique, notamment pour la préservation, le maintien ou la remise en état des continuités écologiques et définir, le cas échéant, les prescriptions de nature à assurer leur préservation ;</w:t>
      </w:r>
      <w:r w:rsidRPr="00874A27">
        <w:rPr>
          <w:rFonts w:ascii="Arial" w:eastAsia="Times New Roman" w:hAnsi="Arial" w:cs="Arial"/>
          <w:color w:val="000000"/>
          <w:sz w:val="19"/>
          <w:szCs w:val="19"/>
          <w:lang w:eastAsia="fr-FR"/>
        </w:rPr>
        <w:br/>
        <w:t>« 3° Dans des secteurs situés à proximité des transports collectifs, existants ou programmés, imposer dans des secteurs qu'il délimite une densité minimale de constructions ;</w:t>
      </w:r>
      <w:r w:rsidRPr="00874A27">
        <w:rPr>
          <w:rFonts w:ascii="Arial" w:eastAsia="Times New Roman" w:hAnsi="Arial" w:cs="Arial"/>
          <w:color w:val="000000"/>
          <w:sz w:val="19"/>
          <w:szCs w:val="19"/>
          <w:lang w:eastAsia="fr-FR"/>
        </w:rPr>
        <w:br/>
        <w:t>« 4° Délimiter les secteurs dans lesquels la délivrance du permis de construire peut être subordonnée à la démolition de tout ou partie des bâtiments existants sur le terrain où l'implantation de la construction est envisagée ;</w:t>
      </w:r>
      <w:r w:rsidRPr="00874A27">
        <w:rPr>
          <w:rFonts w:ascii="Arial" w:eastAsia="Times New Roman" w:hAnsi="Arial" w:cs="Arial"/>
          <w:color w:val="000000"/>
          <w:sz w:val="19"/>
          <w:szCs w:val="19"/>
          <w:lang w:eastAsia="fr-FR"/>
        </w:rPr>
        <w:br/>
        <w:t>« 5° Localiser, dans les zones urbaines, les terrains cultivés et les espaces non bâtis nécessaires au maintien des continuités écologiques à protéger et inconstructibles quels que soient les équipements qui, le cas échéant, les desservent ;</w:t>
      </w:r>
      <w:r w:rsidRPr="00874A27">
        <w:rPr>
          <w:rFonts w:ascii="Arial" w:eastAsia="Times New Roman" w:hAnsi="Arial" w:cs="Arial"/>
          <w:color w:val="000000"/>
          <w:sz w:val="19"/>
          <w:szCs w:val="19"/>
          <w:lang w:eastAsia="fr-FR"/>
        </w:rPr>
        <w:br/>
        <w:t>« 6° Imposer aux constructions, travaux, installations et aménagements, notamment dans les secteurs qu'il ouvre à l'urbanisation, de respecter des performances énergétiques et environnementales renforcées qu'il définit.</w:t>
      </w:r>
      <w:r w:rsidRPr="00874A27">
        <w:rPr>
          <w:rFonts w:ascii="Arial" w:eastAsia="Times New Roman" w:hAnsi="Arial" w:cs="Arial"/>
          <w:color w:val="000000"/>
          <w:sz w:val="19"/>
          <w:szCs w:val="19"/>
          <w:lang w:eastAsia="fr-FR"/>
        </w:rPr>
        <w:br/>
        <w:t>« IV. ― Le règlement peut, en matière d'équipement des zones :</w:t>
      </w:r>
      <w:r w:rsidRPr="00874A27">
        <w:rPr>
          <w:rFonts w:ascii="Arial" w:eastAsia="Times New Roman" w:hAnsi="Arial" w:cs="Arial"/>
          <w:color w:val="000000"/>
          <w:sz w:val="19"/>
          <w:szCs w:val="19"/>
          <w:lang w:eastAsia="fr-FR"/>
        </w:rPr>
        <w:br/>
        <w:t>« 1° Préciser le tracé et les caractéristiques des voies de circulation à conserver, à modifier ou à créer, y compris les rues ou sentiers piétonniers et les itinéraires cyclables, les voies et espaces réservés au transport public et délimiter les zones qui sont ou peuvent être aménagées en vue de la pratique du ski et les secteurs réservés aux remontées mécaniques en indiquant, le cas échéant, les équipements et aménagements susceptibles d'y être prévus ;</w:t>
      </w:r>
      <w:r w:rsidRPr="00874A27">
        <w:rPr>
          <w:rFonts w:ascii="Arial" w:eastAsia="Times New Roman" w:hAnsi="Arial" w:cs="Arial"/>
          <w:color w:val="000000"/>
          <w:sz w:val="19"/>
          <w:szCs w:val="19"/>
          <w:lang w:eastAsia="fr-FR"/>
        </w:rPr>
        <w:br/>
        <w:t>« 2° Fixer les conditions de desserte par les voies et réseaux des terrains susceptibles de recevoir des constructions ou de faire l'objet d'aménagements. Il peut délimiter les zones mentionnées à l'</w:t>
      </w:r>
      <w:hyperlink r:id="rId638" w:history="1">
        <w:r w:rsidRPr="00874A27">
          <w:rPr>
            <w:rFonts w:ascii="Arial" w:eastAsia="Times New Roman" w:hAnsi="Arial" w:cs="Arial"/>
            <w:color w:val="336699"/>
            <w:sz w:val="19"/>
            <w:szCs w:val="19"/>
            <w:u w:val="single"/>
            <w:lang w:eastAsia="fr-FR"/>
          </w:rPr>
          <w:t>article L. 2224-10 du code général des collectivités territoriales </w:t>
        </w:r>
      </w:hyperlink>
      <w:r w:rsidRPr="00874A27">
        <w:rPr>
          <w:rFonts w:ascii="Arial" w:eastAsia="Times New Roman" w:hAnsi="Arial" w:cs="Arial"/>
          <w:color w:val="000000"/>
          <w:sz w:val="19"/>
          <w:szCs w:val="19"/>
          <w:lang w:eastAsia="fr-FR"/>
        </w:rPr>
        <w:t>concernant l'assainissement et les eaux pluviales ;</w:t>
      </w:r>
      <w:r w:rsidRPr="00874A27">
        <w:rPr>
          <w:rFonts w:ascii="Arial" w:eastAsia="Times New Roman" w:hAnsi="Arial" w:cs="Arial"/>
          <w:color w:val="000000"/>
          <w:sz w:val="19"/>
          <w:szCs w:val="19"/>
          <w:lang w:eastAsia="fr-FR"/>
        </w:rPr>
        <w:br/>
        <w:t>« 3° Imposer aux constructions, travaux, installations et aménagements dans les secteurs qu'il ouvre à l'urbanisation de respecter, en matière d'infrastructures et réseaux de communications électroniques, des critères de qualité renforcés, qu'il définit.</w:t>
      </w:r>
      <w:r w:rsidRPr="00874A27">
        <w:rPr>
          <w:rFonts w:ascii="Arial" w:eastAsia="Times New Roman" w:hAnsi="Arial" w:cs="Arial"/>
          <w:color w:val="000000"/>
          <w:sz w:val="19"/>
          <w:szCs w:val="19"/>
          <w:lang w:eastAsia="fr-FR"/>
        </w:rPr>
        <w:br/>
        <w:t>« V. ― Le règlement peut également fixer les emplacements réservés aux voies et ouvrages publics, aux installations d'intérêt général, aux espaces verts ainsi qu'aux espaces nécessaires aux continuités écologiques. »</w:t>
      </w:r>
      <w:r w:rsidRPr="00874A27">
        <w:rPr>
          <w:rFonts w:ascii="Arial" w:eastAsia="Times New Roman" w:hAnsi="Arial" w:cs="Arial"/>
          <w:color w:val="000000"/>
          <w:sz w:val="19"/>
          <w:szCs w:val="19"/>
          <w:lang w:eastAsia="fr-FR"/>
        </w:rPr>
        <w:br/>
        <w:t>II. ― L'article L. 123-3-1 du même code est abrogé.</w:t>
      </w:r>
      <w:r w:rsidRPr="00874A27">
        <w:rPr>
          <w:rFonts w:ascii="Arial" w:eastAsia="Times New Roman" w:hAnsi="Arial" w:cs="Arial"/>
          <w:color w:val="000000"/>
          <w:sz w:val="19"/>
          <w:szCs w:val="19"/>
          <w:lang w:eastAsia="fr-FR"/>
        </w:rPr>
        <w:br/>
        <w:t>III. ― Au premier alinéa de l'article L. 342-23 du code du tourisme, la référence : « 6° » est remplacée par la référence : « 1° du IV ».</w:t>
      </w:r>
      <w:r w:rsidRPr="00874A27">
        <w:rPr>
          <w:rFonts w:ascii="Arial" w:eastAsia="Times New Roman" w:hAnsi="Arial" w:cs="Arial"/>
          <w:color w:val="000000"/>
          <w:sz w:val="19"/>
          <w:szCs w:val="19"/>
          <w:lang w:eastAsia="fr-FR"/>
        </w:rPr>
        <w:br/>
        <w:t>IV. ― L'</w:t>
      </w:r>
      <w:hyperlink r:id="rId639" w:history="1">
        <w:r w:rsidRPr="00874A27">
          <w:rPr>
            <w:rFonts w:ascii="Arial" w:eastAsia="Times New Roman" w:hAnsi="Arial" w:cs="Arial"/>
            <w:color w:val="336699"/>
            <w:sz w:val="19"/>
            <w:szCs w:val="19"/>
            <w:u w:val="single"/>
            <w:lang w:eastAsia="fr-FR"/>
          </w:rPr>
          <w:t>article L. 123-1-5 du code de l'urbanisme</w:t>
        </w:r>
      </w:hyperlink>
      <w:r w:rsidRPr="00874A27">
        <w:rPr>
          <w:rFonts w:ascii="Arial" w:eastAsia="Times New Roman" w:hAnsi="Arial" w:cs="Arial"/>
          <w:color w:val="000000"/>
          <w:sz w:val="19"/>
          <w:szCs w:val="19"/>
          <w:lang w:eastAsia="fr-FR"/>
        </w:rPr>
        <w:t>, dans sa rédaction résultant de la présente loi, n'est pas applicable aux demandes de permis et aux déclarations préalables déposées avant la publication de la présente loi. Les secteurs délimités par le plan local d'urbanisme en application du 14° de l'article L. 123-1-5, dans sa rédaction en vigueur antérieurement à la publication de la même loi, demeurent soumis à ces dispositions jusqu'à la première révision de ce plan engagée après la publication de ladite loi.</w:t>
      </w:r>
      <w:r w:rsidRPr="00874A27">
        <w:rPr>
          <w:rFonts w:ascii="Arial" w:eastAsia="Times New Roman" w:hAnsi="Arial" w:cs="Arial"/>
          <w:color w:val="000000"/>
          <w:sz w:val="19"/>
          <w:szCs w:val="19"/>
          <w:lang w:eastAsia="fr-FR"/>
        </w:rPr>
        <w:br/>
        <w:t>V. ― A la seconde phrase du premier alinéa de l'article L. 411-57 du code rural et de la pêche maritime, les mots : « de l'article L. 123-3-1 » sont remplacés par les mots : « des quatorzième et quinzième alinéas du II de l'article L. 123-1-5. ».</w:t>
      </w:r>
      <w:r w:rsidRPr="00874A27">
        <w:rPr>
          <w:rFonts w:ascii="Arial" w:eastAsia="Times New Roman" w:hAnsi="Arial" w:cs="Arial"/>
          <w:color w:val="000000"/>
          <w:sz w:val="19"/>
          <w:szCs w:val="19"/>
          <w:lang w:eastAsia="fr-FR"/>
        </w:rPr>
        <w:br/>
        <w:t>VI. ― Un décret en Conseil d'Etat fixe la liste des destinations des constructions que les règles édictées par les plans locaux d'urbanisme peuvent prendre en compte. Cette liste permet de distinguer la destination des bâtiments, dans un objectif de mixité fonctionnelle.</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57" w:name="JORFARTI000028774691"/>
      <w:bookmarkEnd w:id="157"/>
      <w:r w:rsidRPr="00874A27">
        <w:rPr>
          <w:rFonts w:ascii="Arial" w:eastAsia="Times New Roman" w:hAnsi="Arial" w:cs="Arial"/>
          <w:b/>
          <w:bCs/>
          <w:color w:val="000000"/>
          <w:sz w:val="23"/>
          <w:szCs w:val="23"/>
          <w:lang w:eastAsia="fr-FR"/>
        </w:rPr>
        <w:lastRenderedPageBreak/>
        <w:t>Article 158 </w:t>
      </w:r>
      <w:hyperlink r:id="rId640" w:tooltip="En savoir plus sur l'article 15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de l'urbanisme est ainsi modifié :</w:t>
      </w:r>
      <w:r w:rsidRPr="00874A27">
        <w:rPr>
          <w:rFonts w:ascii="Arial" w:eastAsia="Times New Roman" w:hAnsi="Arial" w:cs="Arial"/>
          <w:color w:val="000000"/>
          <w:sz w:val="19"/>
          <w:szCs w:val="19"/>
          <w:lang w:eastAsia="fr-FR"/>
        </w:rPr>
        <w:br/>
        <w:t>1° L'article L. 111-6-2 est ainsi modifié :</w:t>
      </w:r>
      <w:r w:rsidRPr="00874A27">
        <w:rPr>
          <w:rFonts w:ascii="Arial" w:eastAsia="Times New Roman" w:hAnsi="Arial" w:cs="Arial"/>
          <w:color w:val="000000"/>
          <w:sz w:val="19"/>
          <w:szCs w:val="19"/>
          <w:lang w:eastAsia="fr-FR"/>
        </w:rPr>
        <w:br/>
        <w:t>a) A la première phrase du premier alinéa, les mots : « toute disposition d'urbanisme contraire » sont remplacés par les mots : « les règles relatives à l'aspect extérieur des constructions des plans locaux d'urbanisme, des plans d'occupation des sols, des plans d'aménagement de zone et des règlements des lotissements » ;</w:t>
      </w:r>
      <w:r w:rsidRPr="00874A27">
        <w:rPr>
          <w:rFonts w:ascii="Arial" w:eastAsia="Times New Roman" w:hAnsi="Arial" w:cs="Arial"/>
          <w:color w:val="000000"/>
          <w:sz w:val="19"/>
          <w:szCs w:val="19"/>
          <w:lang w:eastAsia="fr-FR"/>
        </w:rPr>
        <w:br/>
        <w:t>b) Au deuxième alinéa, la référence : « 7° » est remplacée par la référence : « 2° du II » ;</w:t>
      </w:r>
      <w:r w:rsidRPr="00874A27">
        <w:rPr>
          <w:rFonts w:ascii="Arial" w:eastAsia="Times New Roman" w:hAnsi="Arial" w:cs="Arial"/>
          <w:color w:val="000000"/>
          <w:sz w:val="19"/>
          <w:szCs w:val="19"/>
          <w:lang w:eastAsia="fr-FR"/>
        </w:rPr>
        <w:br/>
        <w:t>2° A la première phrase du deuxième alinéa de l'article L. 128-1, la référence : « neuvième alinéa » est remplacée par la référence : « 2° du III » ;</w:t>
      </w:r>
      <w:r w:rsidRPr="00874A27">
        <w:rPr>
          <w:rFonts w:ascii="Arial" w:eastAsia="Times New Roman" w:hAnsi="Arial" w:cs="Arial"/>
          <w:color w:val="000000"/>
          <w:sz w:val="19"/>
          <w:szCs w:val="19"/>
          <w:lang w:eastAsia="fr-FR"/>
        </w:rPr>
        <w:br/>
        <w:t>3° Au premier alinéa de l'article L. 473-2, la référence : « 6° » est remplacée par la référence : « 1° du III » ;</w:t>
      </w:r>
      <w:r w:rsidRPr="00874A27">
        <w:rPr>
          <w:rFonts w:ascii="Arial" w:eastAsia="Times New Roman" w:hAnsi="Arial" w:cs="Arial"/>
          <w:color w:val="000000"/>
          <w:sz w:val="19"/>
          <w:szCs w:val="19"/>
          <w:lang w:eastAsia="fr-FR"/>
        </w:rPr>
        <w:br/>
        <w:t>4° L'article L. 123-1-11 est ainsi modifié :</w:t>
      </w:r>
      <w:r w:rsidRPr="00874A27">
        <w:rPr>
          <w:rFonts w:ascii="Arial" w:eastAsia="Times New Roman" w:hAnsi="Arial" w:cs="Arial"/>
          <w:color w:val="000000"/>
          <w:sz w:val="19"/>
          <w:szCs w:val="19"/>
          <w:lang w:eastAsia="fr-FR"/>
        </w:rPr>
        <w:br/>
        <w:t>a) Les cinq premiers alinéas sont remplacés par un alinéa ainsi rédigé :</w:t>
      </w:r>
      <w:r w:rsidRPr="00874A27">
        <w:rPr>
          <w:rFonts w:ascii="Arial" w:eastAsia="Times New Roman" w:hAnsi="Arial" w:cs="Arial"/>
          <w:color w:val="000000"/>
          <w:sz w:val="19"/>
          <w:szCs w:val="19"/>
          <w:lang w:eastAsia="fr-FR"/>
        </w:rPr>
        <w:br/>
        <w:t>« Dans les secteurs bâtis des zones urbaines issus d'une opération d'aménagement d'ensemble d'un domaine boisé, antérieure au xxe siècle, et ayant conservé leur caractère remarquable de parc, le plan local d'urbanisme peut comporter des dispositions réglementant la surface de plancher des constructions en fonction de la taille des terrains si la préservation de la qualité des boisements et espaces verts le justifie. » ;</w:t>
      </w:r>
      <w:r w:rsidRPr="00874A27">
        <w:rPr>
          <w:rFonts w:ascii="Arial" w:eastAsia="Times New Roman" w:hAnsi="Arial" w:cs="Arial"/>
          <w:color w:val="000000"/>
          <w:sz w:val="19"/>
          <w:szCs w:val="19"/>
          <w:lang w:eastAsia="fr-FR"/>
        </w:rPr>
        <w:br/>
        <w:t>b) Le sixième alinéa est ainsi modifié :</w:t>
      </w:r>
      <w:r w:rsidRPr="00874A27">
        <w:rPr>
          <w:rFonts w:ascii="Arial" w:eastAsia="Times New Roman" w:hAnsi="Arial" w:cs="Arial"/>
          <w:color w:val="000000"/>
          <w:sz w:val="19"/>
          <w:szCs w:val="19"/>
          <w:lang w:eastAsia="fr-FR"/>
        </w:rPr>
        <w:br/>
        <w:t>― à la première phrase, les mots : « , à l'emprise au sol et au coefficient d'occupation des sols » sont remplacés par les mots : « et à l'emprise au sol » ;</w:t>
      </w:r>
      <w:r w:rsidRPr="00874A27">
        <w:rPr>
          <w:rFonts w:ascii="Arial" w:eastAsia="Times New Roman" w:hAnsi="Arial" w:cs="Arial"/>
          <w:color w:val="000000"/>
          <w:sz w:val="19"/>
          <w:szCs w:val="19"/>
          <w:lang w:eastAsia="fr-FR"/>
        </w:rPr>
        <w:br/>
        <w:t>― la dernière phrase est ainsi rédigée :</w:t>
      </w:r>
      <w:r w:rsidRPr="00874A27">
        <w:rPr>
          <w:rFonts w:ascii="Arial" w:eastAsia="Times New Roman" w:hAnsi="Arial" w:cs="Arial"/>
          <w:color w:val="000000"/>
          <w:sz w:val="19"/>
          <w:szCs w:val="19"/>
          <w:lang w:eastAsia="fr-FR"/>
        </w:rPr>
        <w:br/>
        <w:t>« L'application du dépassement ainsi autorisé ne peut conduire à la création d'une surface de plancher supérieure de plus de 20 % à la surface de plancher existante. » ;</w:t>
      </w:r>
      <w:r w:rsidRPr="00874A27">
        <w:rPr>
          <w:rFonts w:ascii="Arial" w:eastAsia="Times New Roman" w:hAnsi="Arial" w:cs="Arial"/>
          <w:color w:val="000000"/>
          <w:sz w:val="19"/>
          <w:szCs w:val="19"/>
          <w:lang w:eastAsia="fr-FR"/>
        </w:rPr>
        <w:br/>
        <w:t>c) Au septième alinéa, le mot : « sixième » est remplacé par le mot : « deuxième » ;</w:t>
      </w:r>
      <w:r w:rsidRPr="00874A27">
        <w:rPr>
          <w:rFonts w:ascii="Arial" w:eastAsia="Times New Roman" w:hAnsi="Arial" w:cs="Arial"/>
          <w:color w:val="000000"/>
          <w:sz w:val="19"/>
          <w:szCs w:val="19"/>
          <w:lang w:eastAsia="fr-FR"/>
        </w:rPr>
        <w:br/>
        <w:t>5° Au premier alinéa de l'article L. 123-4, les mots : « du coefficient d'occupation du sol fixé » sont remplacés par les mots : « des règles qu'il fixe ».</w:t>
      </w:r>
      <w:r w:rsidRPr="00874A27">
        <w:rPr>
          <w:rFonts w:ascii="Arial" w:eastAsia="Times New Roman" w:hAnsi="Arial" w:cs="Arial"/>
          <w:color w:val="000000"/>
          <w:sz w:val="19"/>
          <w:szCs w:val="19"/>
          <w:lang w:eastAsia="fr-FR"/>
        </w:rPr>
        <w:br/>
        <w:t>6° A la première phrase du premier alinéa des articles L. 123-13-2 et L. 123-13-3, le mot : « sixième » est remplacé par le mot : « deuxième » ;</w:t>
      </w:r>
      <w:r w:rsidRPr="00874A27">
        <w:rPr>
          <w:rFonts w:ascii="Arial" w:eastAsia="Times New Roman" w:hAnsi="Arial" w:cs="Arial"/>
          <w:color w:val="000000"/>
          <w:sz w:val="19"/>
          <w:szCs w:val="19"/>
          <w:lang w:eastAsia="fr-FR"/>
        </w:rPr>
        <w:br/>
        <w:t>7° A la première phrase du premier alinéa de l'article L. 127-1, les mots : « du coefficient d'occupation des sols ou » sont supprimés ;</w:t>
      </w:r>
      <w:r w:rsidRPr="00874A27">
        <w:rPr>
          <w:rFonts w:ascii="Arial" w:eastAsia="Times New Roman" w:hAnsi="Arial" w:cs="Arial"/>
          <w:color w:val="000000"/>
          <w:sz w:val="19"/>
          <w:szCs w:val="19"/>
          <w:lang w:eastAsia="fr-FR"/>
        </w:rPr>
        <w:br/>
        <w:t>8° Au premier alinéa de l'article L. 128-1, les mots : « et à la densité d'occupation des sols » sont supprimés ;</w:t>
      </w:r>
      <w:r w:rsidRPr="00874A27">
        <w:rPr>
          <w:rFonts w:ascii="Arial" w:eastAsia="Times New Roman" w:hAnsi="Arial" w:cs="Arial"/>
          <w:color w:val="000000"/>
          <w:sz w:val="19"/>
          <w:szCs w:val="19"/>
          <w:lang w:eastAsia="fr-FR"/>
        </w:rPr>
        <w:br/>
        <w:t>9° A la fin de l'article L. 128-3, les mots : « de la densité autorisée par le coefficient d'occupation des sols ou du volume autorisé par le gabarit » sont remplacés par les mots : « du volume autorisé par le gabarit de la construction » ;</w:t>
      </w:r>
      <w:r w:rsidRPr="00874A27">
        <w:rPr>
          <w:rFonts w:ascii="Arial" w:eastAsia="Times New Roman" w:hAnsi="Arial" w:cs="Arial"/>
          <w:color w:val="000000"/>
          <w:sz w:val="19"/>
          <w:szCs w:val="19"/>
          <w:lang w:eastAsia="fr-FR"/>
        </w:rPr>
        <w:br/>
        <w:t>10° Le second alinéa de l'article L. 331-37 est supprimé ;</w:t>
      </w:r>
      <w:r w:rsidRPr="00874A27">
        <w:rPr>
          <w:rFonts w:ascii="Arial" w:eastAsia="Times New Roman" w:hAnsi="Arial" w:cs="Arial"/>
          <w:color w:val="000000"/>
          <w:sz w:val="19"/>
          <w:szCs w:val="19"/>
          <w:lang w:eastAsia="fr-FR"/>
        </w:rPr>
        <w:br/>
        <w:t>11° La première phrase du deuxième alinéa de l'article L. 331-40 est ainsi rédigée :</w:t>
      </w:r>
      <w:r w:rsidRPr="00874A27">
        <w:rPr>
          <w:rFonts w:ascii="Arial" w:eastAsia="Times New Roman" w:hAnsi="Arial" w:cs="Arial"/>
          <w:color w:val="000000"/>
          <w:sz w:val="19"/>
          <w:szCs w:val="19"/>
          <w:lang w:eastAsia="fr-FR"/>
        </w:rPr>
        <w:br/>
        <w:t>« Le contribuable peut également fournir une estimation motivée et détaillée de la constructibilité maximale qui s'attache au terrain d'assiette de la construction projetée, compte tenu, notamment, de la nature du sol, de la configuration des parcelles, du caractère des constructions avoisinantes ou de motifs tenant aux économies d'énergie. »</w:t>
      </w:r>
      <w:r w:rsidRPr="00874A27">
        <w:rPr>
          <w:rFonts w:ascii="Arial" w:eastAsia="Times New Roman" w:hAnsi="Arial" w:cs="Arial"/>
          <w:color w:val="000000"/>
          <w:sz w:val="19"/>
          <w:szCs w:val="19"/>
          <w:lang w:eastAsia="fr-FR"/>
        </w:rPr>
        <w:br/>
        <w:t>II. ― Les rescrits délivrés en application de l'article </w:t>
      </w:r>
      <w:hyperlink r:id="rId641" w:history="1">
        <w:r w:rsidRPr="00874A27">
          <w:rPr>
            <w:rFonts w:ascii="Arial" w:eastAsia="Times New Roman" w:hAnsi="Arial" w:cs="Arial"/>
            <w:color w:val="336699"/>
            <w:sz w:val="19"/>
            <w:szCs w:val="19"/>
            <w:u w:val="single"/>
            <w:lang w:eastAsia="fr-FR"/>
          </w:rPr>
          <w:t>L. 331-35</w:t>
        </w:r>
      </w:hyperlink>
      <w:r w:rsidRPr="00874A27">
        <w:rPr>
          <w:rFonts w:ascii="Arial" w:eastAsia="Times New Roman" w:hAnsi="Arial" w:cs="Arial"/>
          <w:color w:val="000000"/>
          <w:sz w:val="19"/>
          <w:szCs w:val="19"/>
          <w:lang w:eastAsia="fr-FR"/>
        </w:rPr>
        <w:t> et du dernier alinéa de l'article </w:t>
      </w:r>
      <w:hyperlink r:id="rId642" w:history="1">
        <w:r w:rsidRPr="00874A27">
          <w:rPr>
            <w:rFonts w:ascii="Arial" w:eastAsia="Times New Roman" w:hAnsi="Arial" w:cs="Arial"/>
            <w:color w:val="336699"/>
            <w:sz w:val="19"/>
            <w:szCs w:val="19"/>
            <w:u w:val="single"/>
            <w:lang w:eastAsia="fr-FR"/>
          </w:rPr>
          <w:t>L. 331-38</w:t>
        </w:r>
      </w:hyperlink>
      <w:r w:rsidRPr="00874A27">
        <w:rPr>
          <w:rFonts w:ascii="Arial" w:eastAsia="Times New Roman" w:hAnsi="Arial" w:cs="Arial"/>
          <w:color w:val="000000"/>
          <w:sz w:val="19"/>
          <w:szCs w:val="19"/>
          <w:lang w:eastAsia="fr-FR"/>
        </w:rPr>
        <w:t> du code de l'urbanisme antérieurement à l'entrée en vigueur de la présente loi ne peuvent être remis en cause du fait de l'abrogation des coefficients d'occupation des sols.</w:t>
      </w:r>
      <w:r w:rsidRPr="00874A27">
        <w:rPr>
          <w:rFonts w:ascii="Arial" w:eastAsia="Times New Roman" w:hAnsi="Arial" w:cs="Arial"/>
          <w:color w:val="000000"/>
          <w:sz w:val="19"/>
          <w:szCs w:val="19"/>
          <w:lang w:eastAsia="fr-FR"/>
        </w:rPr>
        <w:br/>
        <w:t>III. ― A la première phrase de l'article L. 342-18 du code du tourisme, la référence : « 6° » est remplacée par la référence : « 1° du III ».</w:t>
      </w:r>
      <w:r w:rsidRPr="00874A27">
        <w:rPr>
          <w:rFonts w:ascii="Arial" w:eastAsia="Times New Roman" w:hAnsi="Arial" w:cs="Arial"/>
          <w:color w:val="000000"/>
          <w:sz w:val="19"/>
          <w:szCs w:val="19"/>
          <w:lang w:eastAsia="fr-FR"/>
        </w:rPr>
        <w:br/>
        <w:t>IV. ― L'</w:t>
      </w:r>
      <w:hyperlink r:id="rId643" w:history="1">
        <w:r w:rsidRPr="00874A27">
          <w:rPr>
            <w:rFonts w:ascii="Arial" w:eastAsia="Times New Roman" w:hAnsi="Arial" w:cs="Arial"/>
            <w:color w:val="336699"/>
            <w:sz w:val="19"/>
            <w:szCs w:val="19"/>
            <w:u w:val="single"/>
            <w:lang w:eastAsia="fr-FR"/>
          </w:rPr>
          <w:t>article L. 123-4 du code de l'urbanisme</w:t>
        </w:r>
      </w:hyperlink>
      <w:r w:rsidRPr="00874A27">
        <w:rPr>
          <w:rFonts w:ascii="Arial" w:eastAsia="Times New Roman" w:hAnsi="Arial" w:cs="Arial"/>
          <w:color w:val="000000"/>
          <w:sz w:val="19"/>
          <w:szCs w:val="19"/>
          <w:lang w:eastAsia="fr-FR"/>
        </w:rPr>
        <w:t>, dans sa rédaction antérieure à l'entrée en vigueur de la présente loi, demeure applicable aux demandes de permis et aux déclarations préalables accompagnées d'une convention de transfert de coefficient d'occupation des sols conclue avant l'entrée en vigueur de la présente loi.</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6 : Mobiliser les terrains issus du lotissement</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58" w:name="JORFARTI000028774723"/>
      <w:bookmarkEnd w:id="158"/>
      <w:r w:rsidRPr="00874A27">
        <w:rPr>
          <w:rFonts w:ascii="Arial" w:eastAsia="Times New Roman" w:hAnsi="Arial" w:cs="Arial"/>
          <w:b/>
          <w:bCs/>
          <w:color w:val="000000"/>
          <w:sz w:val="23"/>
          <w:szCs w:val="23"/>
          <w:lang w:eastAsia="fr-FR"/>
        </w:rPr>
        <w:t>Article 159 </w:t>
      </w:r>
      <w:hyperlink r:id="rId644" w:tooltip="En savoir plus sur l'article 15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L'article L. 442-9 du code de l'urbanisme est ainsi modifié :</w:t>
      </w:r>
      <w:r w:rsidRPr="00874A27">
        <w:rPr>
          <w:rFonts w:ascii="Arial" w:eastAsia="Times New Roman" w:hAnsi="Arial" w:cs="Arial"/>
          <w:color w:val="000000"/>
          <w:sz w:val="19"/>
          <w:szCs w:val="19"/>
          <w:lang w:eastAsia="fr-FR"/>
        </w:rPr>
        <w:br/>
        <w:t xml:space="preserve">1° Au premier alinéa, les mots : « approuvés d'un lotissement » sont remplacés par les mots : « du </w:t>
      </w:r>
      <w:r w:rsidRPr="00874A27">
        <w:rPr>
          <w:rFonts w:ascii="Arial" w:eastAsia="Times New Roman" w:hAnsi="Arial" w:cs="Arial"/>
          <w:color w:val="000000"/>
          <w:sz w:val="19"/>
          <w:szCs w:val="19"/>
          <w:lang w:eastAsia="fr-FR"/>
        </w:rPr>
        <w:lastRenderedPageBreak/>
        <w:t>lotissement, notamment le règlement, le cahier des charges s'il a été approuvé ou les clauses de nature réglementaire du cahier des charges s'il n'a pas été approuvé, » ;</w:t>
      </w:r>
      <w:r w:rsidRPr="00874A27">
        <w:rPr>
          <w:rFonts w:ascii="Arial" w:eastAsia="Times New Roman" w:hAnsi="Arial" w:cs="Arial"/>
          <w:color w:val="000000"/>
          <w:sz w:val="19"/>
          <w:szCs w:val="19"/>
          <w:lang w:eastAsia="fr-FR"/>
        </w:rPr>
        <w:br/>
        <w:t>2° Le deuxième alinéa est ainsi rédigé :</w:t>
      </w:r>
      <w:r w:rsidRPr="00874A27">
        <w:rPr>
          <w:rFonts w:ascii="Arial" w:eastAsia="Times New Roman" w:hAnsi="Arial" w:cs="Arial"/>
          <w:color w:val="000000"/>
          <w:sz w:val="19"/>
          <w:szCs w:val="19"/>
          <w:lang w:eastAsia="fr-FR"/>
        </w:rPr>
        <w:br/>
        <w:t>« De même, lorsqu'une majorité de colotis a demandé le maintien de ces règles, elles cessent de s'appliquer immédiatement si le lotissement est couvert par un plan local d'urbanisme ou un document d'urbanisme en tenant lieu, dès l'entrée en vigueur de la </w:t>
      </w:r>
      <w:hyperlink r:id="rId645" w:history="1">
        <w:r w:rsidRPr="00874A27">
          <w:rPr>
            <w:rFonts w:ascii="Arial" w:eastAsia="Times New Roman" w:hAnsi="Arial" w:cs="Arial"/>
            <w:color w:val="336699"/>
            <w:sz w:val="19"/>
            <w:szCs w:val="19"/>
            <w:u w:val="single"/>
            <w:lang w:eastAsia="fr-FR"/>
          </w:rPr>
          <w:t>loi n° 2014-366 du 24 mars 2014</w:t>
        </w:r>
      </w:hyperlink>
      <w:r w:rsidRPr="00874A27">
        <w:rPr>
          <w:rFonts w:ascii="Arial" w:eastAsia="Times New Roman" w:hAnsi="Arial" w:cs="Arial"/>
          <w:color w:val="000000"/>
          <w:sz w:val="19"/>
          <w:szCs w:val="19"/>
          <w:lang w:eastAsia="fr-FR"/>
        </w:rPr>
        <w:t> pour l'accès au logement et un urbanisme rénové. » ;</w:t>
      </w:r>
      <w:r w:rsidRPr="00874A27">
        <w:rPr>
          <w:rFonts w:ascii="Arial" w:eastAsia="Times New Roman" w:hAnsi="Arial" w:cs="Arial"/>
          <w:color w:val="000000"/>
          <w:sz w:val="19"/>
          <w:szCs w:val="19"/>
          <w:lang w:eastAsia="fr-FR"/>
        </w:rPr>
        <w:br/>
        <w:t>3° Sont ajoutés trois alinéas ainsi rédigés :</w:t>
      </w:r>
      <w:r w:rsidRPr="00874A27">
        <w:rPr>
          <w:rFonts w:ascii="Arial" w:eastAsia="Times New Roman" w:hAnsi="Arial" w:cs="Arial"/>
          <w:color w:val="000000"/>
          <w:sz w:val="19"/>
          <w:szCs w:val="19"/>
          <w:lang w:eastAsia="fr-FR"/>
        </w:rPr>
        <w:br/>
        <w:t>« Toute disposition non réglementaire ayant pour objet ou pour effet d'interdire ou de restreindre le droit de construire ou encore d'affecter l'usage ou la destination de l'immeuble, contenue dans un cahier des charges non approuvé d'un lotissement, cesse de produire ses effets dans le délai de cinq ans à compter de la promulgation de la loi n° 2014-366 du 24 mars 2014 précitée si ce cahier des charges n'a pas fait l'objet, avant l'expiration de ce délai, d'une publication au bureau des hypothèques ou au livre foncier.</w:t>
      </w:r>
      <w:r w:rsidRPr="00874A27">
        <w:rPr>
          <w:rFonts w:ascii="Arial" w:eastAsia="Times New Roman" w:hAnsi="Arial" w:cs="Arial"/>
          <w:color w:val="000000"/>
          <w:sz w:val="19"/>
          <w:szCs w:val="19"/>
          <w:lang w:eastAsia="fr-FR"/>
        </w:rPr>
        <w:br/>
        <w:t>« La publication au bureau des hypothèques ou au livre foncier est décidée par les colotis conformément à la majorité définie à l'article L. 442-10 ; les modalités de la publication font l'objet d'un décret.</w:t>
      </w:r>
      <w:r w:rsidRPr="00874A27">
        <w:rPr>
          <w:rFonts w:ascii="Arial" w:eastAsia="Times New Roman" w:hAnsi="Arial" w:cs="Arial"/>
          <w:color w:val="000000"/>
          <w:sz w:val="19"/>
          <w:szCs w:val="19"/>
          <w:lang w:eastAsia="fr-FR"/>
        </w:rPr>
        <w:br/>
        <w:t>« La publication du cahier des charges ne fait pas obstacle à l'application du même article L. 442-10. »</w:t>
      </w:r>
      <w:r w:rsidRPr="00874A27">
        <w:rPr>
          <w:rFonts w:ascii="Arial" w:eastAsia="Times New Roman" w:hAnsi="Arial" w:cs="Arial"/>
          <w:color w:val="000000"/>
          <w:sz w:val="19"/>
          <w:szCs w:val="19"/>
          <w:lang w:eastAsia="fr-FR"/>
        </w:rPr>
        <w:br/>
        <w:t>II. ― L'article L. 442-10 du même code est ainsi modifié :</w:t>
      </w:r>
      <w:r w:rsidRPr="00874A27">
        <w:rPr>
          <w:rFonts w:ascii="Arial" w:eastAsia="Times New Roman" w:hAnsi="Arial" w:cs="Arial"/>
          <w:color w:val="000000"/>
          <w:sz w:val="19"/>
          <w:szCs w:val="19"/>
          <w:lang w:eastAsia="fr-FR"/>
        </w:rPr>
        <w:br/>
        <w:t>1° Le premier alinéa est ainsi modifié :</w:t>
      </w:r>
      <w:r w:rsidRPr="00874A27">
        <w:rPr>
          <w:rFonts w:ascii="Arial" w:eastAsia="Times New Roman" w:hAnsi="Arial" w:cs="Arial"/>
          <w:color w:val="000000"/>
          <w:sz w:val="19"/>
          <w:szCs w:val="19"/>
          <w:lang w:eastAsia="fr-FR"/>
        </w:rPr>
        <w:br/>
        <w:t>a) Les mots : « les deux tiers des propriétaires détenant ensemble les trois quarts au moins de la superficie d'un lotissement ou les trois quarts des propriétaires détenant au moins les deux tiers » sont remplacés par les mots : « la moitié des propriétaires détenant ensemble les deux tiers au moins de la superficie d'un lotissement ou les deux tiers des propriétaires détenant au moins la moitié » ;</w:t>
      </w:r>
      <w:r w:rsidRPr="00874A27">
        <w:rPr>
          <w:rFonts w:ascii="Arial" w:eastAsia="Times New Roman" w:hAnsi="Arial" w:cs="Arial"/>
          <w:color w:val="000000"/>
          <w:sz w:val="19"/>
          <w:szCs w:val="19"/>
          <w:lang w:eastAsia="fr-FR"/>
        </w:rPr>
        <w:br/>
        <w:t>b) Les mots : « , notamment du règlement et du cahier des charges relatifs à ce lotissement, si cette modification est » sont remplacés par les mots et une phrase ainsi rédigée : « du lotissement, notamment le règlement, le cahier des charges s'il a été approuvé ou les clauses de nature réglementaire du cahier des charges s'il n'a pas été approuvé. Cette modification doit être » ;</w:t>
      </w:r>
      <w:r w:rsidRPr="00874A27">
        <w:rPr>
          <w:rFonts w:ascii="Arial" w:eastAsia="Times New Roman" w:hAnsi="Arial" w:cs="Arial"/>
          <w:color w:val="000000"/>
          <w:sz w:val="19"/>
          <w:szCs w:val="19"/>
          <w:lang w:eastAsia="fr-FR"/>
        </w:rPr>
        <w:br/>
        <w:t>2° Après le premier alinéa, il est inséré un alinéa ainsi rédigé :</w:t>
      </w:r>
      <w:r w:rsidRPr="00874A27">
        <w:rPr>
          <w:rFonts w:ascii="Arial" w:eastAsia="Times New Roman" w:hAnsi="Arial" w:cs="Arial"/>
          <w:color w:val="000000"/>
          <w:sz w:val="19"/>
          <w:szCs w:val="19"/>
          <w:lang w:eastAsia="fr-FR"/>
        </w:rPr>
        <w:br/>
        <w:t>« Le premier alinéa ne concerne pas l'affectation des parties communes des lotissements. » ;</w:t>
      </w:r>
      <w:r w:rsidRPr="00874A27">
        <w:rPr>
          <w:rFonts w:ascii="Arial" w:eastAsia="Times New Roman" w:hAnsi="Arial" w:cs="Arial"/>
          <w:color w:val="000000"/>
          <w:sz w:val="19"/>
          <w:szCs w:val="19"/>
          <w:lang w:eastAsia="fr-FR"/>
        </w:rPr>
        <w:br/>
        <w:t>3° Au second alinéa, la référence : « à l'alinéa précédent » est remplacée par la référence : « au premier alinéa ».</w:t>
      </w:r>
      <w:r w:rsidRPr="00874A27">
        <w:rPr>
          <w:rFonts w:ascii="Arial" w:eastAsia="Times New Roman" w:hAnsi="Arial" w:cs="Arial"/>
          <w:color w:val="000000"/>
          <w:sz w:val="19"/>
          <w:szCs w:val="19"/>
          <w:lang w:eastAsia="fr-FR"/>
        </w:rPr>
        <w:br/>
        <w:t>III. ― L'article L. 442-11 du même code est ainsi modifié :</w:t>
      </w:r>
      <w:r w:rsidRPr="00874A27">
        <w:rPr>
          <w:rFonts w:ascii="Arial" w:eastAsia="Times New Roman" w:hAnsi="Arial" w:cs="Arial"/>
          <w:color w:val="000000"/>
          <w:sz w:val="19"/>
          <w:szCs w:val="19"/>
          <w:lang w:eastAsia="fr-FR"/>
        </w:rPr>
        <w:br/>
        <w:t>1° Après le mot : « charges, », sont insérés les mots : « qu'il soit approuvé ou non approuvé, » ;</w:t>
      </w:r>
      <w:r w:rsidRPr="00874A27">
        <w:rPr>
          <w:rFonts w:ascii="Arial" w:eastAsia="Times New Roman" w:hAnsi="Arial" w:cs="Arial"/>
          <w:color w:val="000000"/>
          <w:sz w:val="19"/>
          <w:szCs w:val="19"/>
          <w:lang w:eastAsia="fr-FR"/>
        </w:rPr>
        <w:br/>
        <w:t>2° Le mot : « les » est supprimé ;</w:t>
      </w:r>
      <w:r w:rsidRPr="00874A27">
        <w:rPr>
          <w:rFonts w:ascii="Arial" w:eastAsia="Times New Roman" w:hAnsi="Arial" w:cs="Arial"/>
          <w:color w:val="000000"/>
          <w:sz w:val="19"/>
          <w:szCs w:val="19"/>
          <w:lang w:eastAsia="fr-FR"/>
        </w:rPr>
        <w:br/>
        <w:t>3° Après le mot : « concordance », sont insérés les mots : « ces documents » ;</w:t>
      </w:r>
      <w:r w:rsidRPr="00874A27">
        <w:rPr>
          <w:rFonts w:ascii="Arial" w:eastAsia="Times New Roman" w:hAnsi="Arial" w:cs="Arial"/>
          <w:color w:val="000000"/>
          <w:sz w:val="19"/>
          <w:szCs w:val="19"/>
          <w:lang w:eastAsia="fr-FR"/>
        </w:rPr>
        <w:br/>
        <w:t>4° Sont ajoutés les mots : « , au regard notamment de la densité maximale de construction résultant de l'application de l'ensemble des règles du document d'urbanisme ».</w:t>
      </w:r>
    </w:p>
    <w:p w:rsidR="00874A27" w:rsidRPr="00874A27" w:rsidRDefault="00874A27" w:rsidP="00874A27">
      <w:pPr>
        <w:numPr>
          <w:ilvl w:val="2"/>
          <w:numId w:val="4"/>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Section 7 : Aménagement opérationnel</w:t>
      </w:r>
    </w:p>
    <w:p w:rsidR="00874A27" w:rsidRPr="00874A27" w:rsidRDefault="00874A27" w:rsidP="00874A27">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59" w:name="JORFARTI000028774740"/>
      <w:bookmarkEnd w:id="159"/>
      <w:r w:rsidRPr="00874A27">
        <w:rPr>
          <w:rFonts w:ascii="Arial" w:eastAsia="Times New Roman" w:hAnsi="Arial" w:cs="Arial"/>
          <w:b/>
          <w:bCs/>
          <w:color w:val="000000"/>
          <w:sz w:val="23"/>
          <w:szCs w:val="23"/>
          <w:lang w:eastAsia="fr-FR"/>
        </w:rPr>
        <w:t>Article 160 </w:t>
      </w:r>
      <w:hyperlink r:id="rId646" w:tooltip="En savoir plus sur l'article 16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Après le quatrième alinéa du V de l'article L. 3211-7 du code général de la propriété des personnes publiques, il est inséré un alinéa ainsi rédigé :</w:t>
      </w:r>
      <w:r w:rsidRPr="00874A27">
        <w:rPr>
          <w:rFonts w:ascii="Arial" w:eastAsia="Times New Roman" w:hAnsi="Arial" w:cs="Arial"/>
          <w:color w:val="000000"/>
          <w:sz w:val="19"/>
          <w:szCs w:val="19"/>
          <w:lang w:eastAsia="fr-FR"/>
        </w:rPr>
        <w:br/>
        <w:t>« Lorsque la cession d'un terrain, bâti ou non, du domaine privé de l'Etat s'inscrit dans une opération d'aménagement, au sens de l'</w:t>
      </w:r>
      <w:hyperlink r:id="rId647" w:history="1">
        <w:r w:rsidRPr="00874A27">
          <w:rPr>
            <w:rFonts w:ascii="Arial" w:eastAsia="Times New Roman" w:hAnsi="Arial" w:cs="Arial"/>
            <w:color w:val="336699"/>
            <w:sz w:val="19"/>
            <w:szCs w:val="19"/>
            <w:u w:val="single"/>
            <w:lang w:eastAsia="fr-FR"/>
          </w:rPr>
          <w:t>article L. 300-1 du code de l'urbanisme</w:t>
        </w:r>
      </w:hyperlink>
      <w:r w:rsidRPr="00874A27">
        <w:rPr>
          <w:rFonts w:ascii="Arial" w:eastAsia="Times New Roman" w:hAnsi="Arial" w:cs="Arial"/>
          <w:color w:val="000000"/>
          <w:sz w:val="19"/>
          <w:szCs w:val="19"/>
          <w:lang w:eastAsia="fr-FR"/>
        </w:rPr>
        <w:t>, qui porte sur un périmètre de plus de cinq hectares, et après accord des ministres chargés du logement et du domaine, au vu du rapport transmis par le représentant de l'Etat dans la région, la convention conclue entre le représentant de l'Etat dans la région et l'acquéreur peut prévoir une réalisation de l'opération par tranches échelonnées sur une durée totale supérieure à cinq ans et permettant chacune un contrôle du dispositif de décote, dans les conditions prévues aux troisième et quatrième alinéas du présent V. »</w:t>
      </w:r>
      <w:r w:rsidRPr="00874A27">
        <w:rPr>
          <w:rFonts w:ascii="Arial" w:eastAsia="Times New Roman" w:hAnsi="Arial" w:cs="Arial"/>
          <w:color w:val="000000"/>
          <w:sz w:val="19"/>
          <w:szCs w:val="19"/>
          <w:lang w:eastAsia="fr-FR"/>
        </w:rPr>
        <w:br/>
        <w:t>II. ― Après le deuxième alinéa de l'article L. 240-1 du code de l'urbanisme, il est inséré un alinéa ainsi rédigé :</w:t>
      </w:r>
      <w:r w:rsidRPr="00874A27">
        <w:rPr>
          <w:rFonts w:ascii="Arial" w:eastAsia="Times New Roman" w:hAnsi="Arial" w:cs="Arial"/>
          <w:color w:val="000000"/>
          <w:sz w:val="19"/>
          <w:szCs w:val="19"/>
          <w:lang w:eastAsia="fr-FR"/>
        </w:rPr>
        <w:br/>
        <w:t>« Pour l'acquisition d'un terrain pouvant faire l'objet d'une cession dans les conditions prévues aux articles </w:t>
      </w:r>
      <w:hyperlink r:id="rId648" w:history="1">
        <w:r w:rsidRPr="00874A27">
          <w:rPr>
            <w:rFonts w:ascii="Arial" w:eastAsia="Times New Roman" w:hAnsi="Arial" w:cs="Arial"/>
            <w:color w:val="336699"/>
            <w:sz w:val="19"/>
            <w:szCs w:val="19"/>
            <w:u w:val="single"/>
            <w:lang w:eastAsia="fr-FR"/>
          </w:rPr>
          <w:t>L. 3211-7</w:t>
        </w:r>
      </w:hyperlink>
      <w:r w:rsidRPr="00874A27">
        <w:rPr>
          <w:rFonts w:ascii="Arial" w:eastAsia="Times New Roman" w:hAnsi="Arial" w:cs="Arial"/>
          <w:color w:val="000000"/>
          <w:sz w:val="19"/>
          <w:szCs w:val="19"/>
          <w:lang w:eastAsia="fr-FR"/>
        </w:rPr>
        <w:t> et </w:t>
      </w:r>
      <w:hyperlink r:id="rId649" w:history="1">
        <w:r w:rsidRPr="00874A27">
          <w:rPr>
            <w:rFonts w:ascii="Arial" w:eastAsia="Times New Roman" w:hAnsi="Arial" w:cs="Arial"/>
            <w:color w:val="336699"/>
            <w:sz w:val="19"/>
            <w:szCs w:val="19"/>
            <w:u w:val="single"/>
            <w:lang w:eastAsia="fr-FR"/>
          </w:rPr>
          <w:t>L. 3211-13-1</w:t>
        </w:r>
      </w:hyperlink>
      <w:r w:rsidRPr="00874A27">
        <w:rPr>
          <w:rFonts w:ascii="Arial" w:eastAsia="Times New Roman" w:hAnsi="Arial" w:cs="Arial"/>
          <w:color w:val="000000"/>
          <w:sz w:val="19"/>
          <w:szCs w:val="19"/>
          <w:lang w:eastAsia="fr-FR"/>
        </w:rPr>
        <w:t xml:space="preserve"> du code général de la propriété des personnes publiques, la commune ou l'établissement public de coopération intercommunale peut également déléguer son droit de priorité à un établissement public mentionné à la section 1 du chapitre Ier et au chapitre IV </w:t>
      </w:r>
      <w:r w:rsidRPr="00874A27">
        <w:rPr>
          <w:rFonts w:ascii="Arial" w:eastAsia="Times New Roman" w:hAnsi="Arial" w:cs="Arial"/>
          <w:color w:val="000000"/>
          <w:sz w:val="19"/>
          <w:szCs w:val="19"/>
          <w:lang w:eastAsia="fr-FR"/>
        </w:rPr>
        <w:lastRenderedPageBreak/>
        <w:t>du titre II du livre III du code de l'urbanisme, à un organisme agréé mentionné à l'</w:t>
      </w:r>
      <w:hyperlink r:id="rId650" w:history="1">
        <w:r w:rsidRPr="00874A27">
          <w:rPr>
            <w:rFonts w:ascii="Arial" w:eastAsia="Times New Roman" w:hAnsi="Arial" w:cs="Arial"/>
            <w:color w:val="336699"/>
            <w:sz w:val="19"/>
            <w:szCs w:val="19"/>
            <w:u w:val="single"/>
            <w:lang w:eastAsia="fr-FR"/>
          </w:rPr>
          <w:t>article L. 365-2 du code de la construction et de l'habitation</w:t>
        </w:r>
      </w:hyperlink>
      <w:r w:rsidRPr="00874A27">
        <w:rPr>
          <w:rFonts w:ascii="Arial" w:eastAsia="Times New Roman" w:hAnsi="Arial" w:cs="Arial"/>
          <w:color w:val="000000"/>
          <w:sz w:val="19"/>
          <w:szCs w:val="19"/>
          <w:lang w:eastAsia="fr-FR"/>
        </w:rPr>
        <w:t>, à un organisme mentionné à l'article L. 411-2 du même code et à une société d'économie mixte mentionnée à l'article L. 481-1 dudit code.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60" w:name="JORFARTI000028774750"/>
      <w:bookmarkEnd w:id="160"/>
      <w:r w:rsidRPr="00874A27">
        <w:rPr>
          <w:rFonts w:ascii="Arial" w:eastAsia="Times New Roman" w:hAnsi="Arial" w:cs="Arial"/>
          <w:b/>
          <w:bCs/>
          <w:color w:val="000000"/>
          <w:sz w:val="23"/>
          <w:szCs w:val="23"/>
          <w:lang w:eastAsia="fr-FR"/>
        </w:rPr>
        <w:t>Article 161 </w:t>
      </w:r>
      <w:hyperlink r:id="rId651" w:tooltip="En savoir plus sur l'article 16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code de l'urbanisme est ainsi modifié :</w:t>
      </w:r>
      <w:r w:rsidRPr="00874A27">
        <w:rPr>
          <w:rFonts w:ascii="Arial" w:eastAsia="Times New Roman" w:hAnsi="Arial" w:cs="Arial"/>
          <w:color w:val="000000"/>
          <w:sz w:val="19"/>
          <w:szCs w:val="19"/>
          <w:lang w:eastAsia="fr-FR"/>
        </w:rPr>
        <w:br/>
        <w:t>1° Le deuxième alinéa de l'article L. 300-4 est complété par une phrase ainsi rédigée :</w:t>
      </w:r>
      <w:r w:rsidRPr="00874A27">
        <w:rPr>
          <w:rFonts w:ascii="Arial" w:eastAsia="Times New Roman" w:hAnsi="Arial" w:cs="Arial"/>
          <w:color w:val="000000"/>
          <w:sz w:val="19"/>
          <w:szCs w:val="19"/>
          <w:lang w:eastAsia="fr-FR"/>
        </w:rPr>
        <w:br/>
        <w:t>« Lorsqu'une opération d'aménagement est destinée à être réalisée dans une zone d'aménagement concerté, l'attribution de la concession d'aménagement peut intervenir avant la création de la zone, dès lors que la personne publique à l'initiative de la zone d'aménagement concerté a arrêté le bilan de la concertation prévue à l'article L. 300-2 et a délibéré sur les enjeux et l'objectif de l'opération, son périmètre d'intervention, son programme et son bilan financier prévisionnel. » ;</w:t>
      </w:r>
      <w:r w:rsidRPr="00874A27">
        <w:rPr>
          <w:rFonts w:ascii="Arial" w:eastAsia="Times New Roman" w:hAnsi="Arial" w:cs="Arial"/>
          <w:color w:val="000000"/>
          <w:sz w:val="19"/>
          <w:szCs w:val="19"/>
          <w:lang w:eastAsia="fr-FR"/>
        </w:rPr>
        <w:br/>
        <w:t>2° A l'article L. 311-7, il est rétabli un b ainsi rédigé :</w:t>
      </w:r>
      <w:r w:rsidRPr="00874A27">
        <w:rPr>
          <w:rFonts w:ascii="Arial" w:eastAsia="Times New Roman" w:hAnsi="Arial" w:cs="Arial"/>
          <w:color w:val="000000"/>
          <w:sz w:val="19"/>
          <w:szCs w:val="19"/>
          <w:lang w:eastAsia="fr-FR"/>
        </w:rPr>
        <w:br/>
        <w:t>« b) D'une modification simplifiée dans les conditions définies aux articles L. 123-13-1 et L. 123-13-3 ; ».</w:t>
      </w:r>
      <w:r w:rsidRPr="00874A27">
        <w:rPr>
          <w:rFonts w:ascii="Arial" w:eastAsia="Times New Roman" w:hAnsi="Arial" w:cs="Arial"/>
          <w:color w:val="000000"/>
          <w:sz w:val="19"/>
          <w:szCs w:val="19"/>
          <w:lang w:eastAsia="fr-FR"/>
        </w:rPr>
        <w:br/>
        <w:t>II. ― Après le II de l'article L. 122-3 du code de l'environnement, il est inséré un II bis ainsi rédigé :</w:t>
      </w:r>
      <w:r w:rsidRPr="00874A27">
        <w:rPr>
          <w:rFonts w:ascii="Arial" w:eastAsia="Times New Roman" w:hAnsi="Arial" w:cs="Arial"/>
          <w:color w:val="000000"/>
          <w:sz w:val="19"/>
          <w:szCs w:val="19"/>
          <w:lang w:eastAsia="fr-FR"/>
        </w:rPr>
        <w:br/>
        <w:t>« II bis. ― Il fixe les conditions dans lesquelles, dans le cas d'une opération d'aménagement réalisée dans le cadre d'une zone d'aménagement concerté créée en application de l'</w:t>
      </w:r>
      <w:hyperlink r:id="rId652" w:history="1">
        <w:r w:rsidRPr="00874A27">
          <w:rPr>
            <w:rFonts w:ascii="Arial" w:eastAsia="Times New Roman" w:hAnsi="Arial" w:cs="Arial"/>
            <w:color w:val="336699"/>
            <w:sz w:val="19"/>
            <w:szCs w:val="19"/>
            <w:u w:val="single"/>
            <w:lang w:eastAsia="fr-FR"/>
          </w:rPr>
          <w:t>article L. 311-1 du code de l'urbanisme</w:t>
        </w:r>
      </w:hyperlink>
      <w:r w:rsidRPr="00874A27">
        <w:rPr>
          <w:rFonts w:ascii="Arial" w:eastAsia="Times New Roman" w:hAnsi="Arial" w:cs="Arial"/>
          <w:color w:val="000000"/>
          <w:sz w:val="19"/>
          <w:szCs w:val="19"/>
          <w:lang w:eastAsia="fr-FR"/>
        </w:rPr>
        <w:t>, l'avis de l'autorité administrative compétente en matière d'environnement sur l'étude d'impact préalable à la création de la zone peut tenir lieu d'avis pour les études d'impact afférentes aux acquisitions foncières, travaux et ouvrages réalisés au sein de la zone. »</w:t>
      </w:r>
      <w:r w:rsidRPr="00874A27">
        <w:rPr>
          <w:rFonts w:ascii="Arial" w:eastAsia="Times New Roman" w:hAnsi="Arial" w:cs="Arial"/>
          <w:color w:val="000000"/>
          <w:sz w:val="19"/>
          <w:szCs w:val="19"/>
          <w:lang w:eastAsia="fr-FR"/>
        </w:rPr>
        <w:br/>
        <w:t>III. ― Après le premier alinéa de l'article L. 1331-7 du code de la santé publique, il est inséré un alinéa ainsi rédigé :</w:t>
      </w:r>
      <w:r w:rsidRPr="00874A27">
        <w:rPr>
          <w:rFonts w:ascii="Arial" w:eastAsia="Times New Roman" w:hAnsi="Arial" w:cs="Arial"/>
          <w:color w:val="000000"/>
          <w:sz w:val="19"/>
          <w:szCs w:val="19"/>
          <w:lang w:eastAsia="fr-FR"/>
        </w:rPr>
        <w:br/>
        <w:t>« Toutefois, lorsque dans une zone d'aménagement concerté créée en application de l'</w:t>
      </w:r>
      <w:hyperlink r:id="rId653" w:history="1">
        <w:r w:rsidRPr="00874A27">
          <w:rPr>
            <w:rFonts w:ascii="Arial" w:eastAsia="Times New Roman" w:hAnsi="Arial" w:cs="Arial"/>
            <w:color w:val="336699"/>
            <w:sz w:val="19"/>
            <w:szCs w:val="19"/>
            <w:u w:val="single"/>
            <w:lang w:eastAsia="fr-FR"/>
          </w:rPr>
          <w:t>article L. 311-1 du code de l'urbanisme</w:t>
        </w:r>
      </w:hyperlink>
      <w:r w:rsidRPr="00874A27">
        <w:rPr>
          <w:rFonts w:ascii="Arial" w:eastAsia="Times New Roman" w:hAnsi="Arial" w:cs="Arial"/>
          <w:color w:val="000000"/>
          <w:sz w:val="19"/>
          <w:szCs w:val="19"/>
          <w:lang w:eastAsia="fr-FR"/>
        </w:rPr>
        <w:t>, l'aménageur supporte tout ou partie du coût de construction du réseau public de collecte des eaux usées compris dans le programme des équipements publics de la zone, la participation pour le financement de l'assainissement collectif est diminuée à proportion du coût ainsi pris en charge.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61" w:name="JORFARTI000028774760"/>
      <w:bookmarkEnd w:id="161"/>
      <w:r w:rsidRPr="00874A27">
        <w:rPr>
          <w:rFonts w:ascii="Arial" w:eastAsia="Times New Roman" w:hAnsi="Arial" w:cs="Arial"/>
          <w:b/>
          <w:bCs/>
          <w:color w:val="000000"/>
          <w:sz w:val="23"/>
          <w:szCs w:val="23"/>
          <w:lang w:eastAsia="fr-FR"/>
        </w:rPr>
        <w:t>Article 162 </w:t>
      </w:r>
      <w:hyperlink r:id="rId654" w:tooltip="En savoir plus sur l'article 16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642-8 du code du patrimoine est ainsi rédigé :</w:t>
      </w:r>
      <w:r w:rsidRPr="00874A27">
        <w:rPr>
          <w:rFonts w:ascii="Arial" w:eastAsia="Times New Roman" w:hAnsi="Arial" w:cs="Arial"/>
          <w:color w:val="000000"/>
          <w:sz w:val="19"/>
          <w:szCs w:val="19"/>
          <w:lang w:eastAsia="fr-FR"/>
        </w:rPr>
        <w:br/>
        <w:t>« Art. L. 642-8. - Les zones de protection du patrimoine architectural, urbain et paysager mises en place avant la date d'entrée en vigueur de la </w:t>
      </w:r>
      <w:hyperlink r:id="rId655" w:history="1">
        <w:r w:rsidRPr="00874A27">
          <w:rPr>
            <w:rFonts w:ascii="Arial" w:eastAsia="Times New Roman" w:hAnsi="Arial" w:cs="Arial"/>
            <w:color w:val="336699"/>
            <w:sz w:val="19"/>
            <w:szCs w:val="19"/>
            <w:u w:val="single"/>
            <w:lang w:eastAsia="fr-FR"/>
          </w:rPr>
          <w:t>loi n° 2010-788 du 12 juillet 2010</w:t>
        </w:r>
      </w:hyperlink>
      <w:r w:rsidRPr="00874A27">
        <w:rPr>
          <w:rFonts w:ascii="Arial" w:eastAsia="Times New Roman" w:hAnsi="Arial" w:cs="Arial"/>
          <w:color w:val="000000"/>
          <w:sz w:val="19"/>
          <w:szCs w:val="19"/>
          <w:lang w:eastAsia="fr-FR"/>
        </w:rPr>
        <w:t> portant engagement national pour l'environnement continuent à produire leurs effets de droit jusqu'à ce que s'y substituent des aires de mise en valeur de l'architecture et du patrimoine et, au plus tard, dans un délai de six ans à compter de l'entrée en vigueur de cette même loi.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62" w:name="JORFARTI000028774764"/>
      <w:bookmarkEnd w:id="162"/>
      <w:r w:rsidRPr="00874A27">
        <w:rPr>
          <w:rFonts w:ascii="Arial" w:eastAsia="Times New Roman" w:hAnsi="Arial" w:cs="Arial"/>
          <w:b/>
          <w:bCs/>
          <w:color w:val="000000"/>
          <w:sz w:val="23"/>
          <w:szCs w:val="23"/>
          <w:lang w:eastAsia="fr-FR"/>
        </w:rPr>
        <w:t>Article 163 </w:t>
      </w:r>
      <w:hyperlink r:id="rId656" w:tooltip="En savoir plus sur l'article 16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 chapitre II du titre II du livre III du code de l'urbanisme est complété par des articles L. 322-12 à L. 322-16 ainsi rétablis :</w:t>
      </w:r>
      <w:r w:rsidRPr="00874A27">
        <w:rPr>
          <w:rFonts w:ascii="Arial" w:eastAsia="Times New Roman" w:hAnsi="Arial" w:cs="Arial"/>
          <w:color w:val="000000"/>
          <w:sz w:val="19"/>
          <w:szCs w:val="19"/>
          <w:lang w:eastAsia="fr-FR"/>
        </w:rPr>
        <w:br/>
        <w:t>« Art. L. 322-12. - L'association foncière urbaine de projet est une association foncière urbaine autorisée qui a pour objet de permettre la cession des terrains inclus dans son périmètre, après avoir réalisé un projet associant une opération de remembrement, au sens des 1° et 2° de l'article L. 322-2, et une opération d'aménagement, au sens de l'article L. 300-1.</w:t>
      </w:r>
      <w:r w:rsidRPr="00874A27">
        <w:rPr>
          <w:rFonts w:ascii="Arial" w:eastAsia="Times New Roman" w:hAnsi="Arial" w:cs="Arial"/>
          <w:color w:val="000000"/>
          <w:sz w:val="19"/>
          <w:szCs w:val="19"/>
          <w:lang w:eastAsia="fr-FR"/>
        </w:rPr>
        <w:br/>
        <w:t>« L'association foncière urbaine de projet est régie par les dispositions du présent chapitre, sous réserve des articles L. 322-13 à L. 322-16.</w:t>
      </w:r>
      <w:r w:rsidRPr="00874A27">
        <w:rPr>
          <w:rFonts w:ascii="Arial" w:eastAsia="Times New Roman" w:hAnsi="Arial" w:cs="Arial"/>
          <w:color w:val="000000"/>
          <w:sz w:val="19"/>
          <w:szCs w:val="19"/>
          <w:lang w:eastAsia="fr-FR"/>
        </w:rPr>
        <w:br/>
        <w:t>« Art. L. 322-13. - La commune ou l'établissement public de coopération intercommunale compétent en matière de plan local d'urbanisme ou le représentant de l'Etat dans le cadre d'une opération d'intérêt national peuvent délimiter des périmètres de projet au sein desquels les propriétaires fonciers sont incités à se regrouper en association foncière urbaine de projet et les associations foncières urbaines de projet à mener leurs opérations de façon concertée.</w:t>
      </w:r>
      <w:r w:rsidRPr="00874A27">
        <w:rPr>
          <w:rFonts w:ascii="Arial" w:eastAsia="Times New Roman" w:hAnsi="Arial" w:cs="Arial"/>
          <w:color w:val="000000"/>
          <w:sz w:val="19"/>
          <w:szCs w:val="19"/>
          <w:lang w:eastAsia="fr-FR"/>
        </w:rPr>
        <w:br/>
        <w:t>« Art. L. 322-14. - Les propriétaires intéressés à la création d'une association foncière urbaine de projet adressent la demande d'autorisation à l'autorité administrative.</w:t>
      </w:r>
      <w:r w:rsidRPr="00874A27">
        <w:rPr>
          <w:rFonts w:ascii="Arial" w:eastAsia="Times New Roman" w:hAnsi="Arial" w:cs="Arial"/>
          <w:color w:val="000000"/>
          <w:sz w:val="19"/>
          <w:szCs w:val="19"/>
          <w:lang w:eastAsia="fr-FR"/>
        </w:rPr>
        <w:br/>
        <w:t xml:space="preserve">« Le dossier de la demande de création comprend notamment le projet de statuts et le périmètre des opérations envisagé, qui peut intégrer tout ou partie des unités foncières sur lesquelles porte le projet </w:t>
      </w:r>
      <w:r w:rsidRPr="00874A27">
        <w:rPr>
          <w:rFonts w:ascii="Arial" w:eastAsia="Times New Roman" w:hAnsi="Arial" w:cs="Arial"/>
          <w:color w:val="000000"/>
          <w:sz w:val="19"/>
          <w:szCs w:val="19"/>
          <w:lang w:eastAsia="fr-FR"/>
        </w:rPr>
        <w:lastRenderedPageBreak/>
        <w:t>de l'association. Les statuts sont conformes au </w:t>
      </w:r>
      <w:hyperlink r:id="rId657" w:history="1">
        <w:r w:rsidRPr="00874A27">
          <w:rPr>
            <w:rFonts w:ascii="Arial" w:eastAsia="Times New Roman" w:hAnsi="Arial" w:cs="Arial"/>
            <w:color w:val="336699"/>
            <w:sz w:val="19"/>
            <w:szCs w:val="19"/>
            <w:u w:val="single"/>
            <w:lang w:eastAsia="fr-FR"/>
          </w:rPr>
          <w:t>second alinéa de l'article 7 de l'ordonnance n° 2004-632 du 1er juillet 2004</w:t>
        </w:r>
      </w:hyperlink>
      <w:r w:rsidRPr="00874A27">
        <w:rPr>
          <w:rFonts w:ascii="Arial" w:eastAsia="Times New Roman" w:hAnsi="Arial" w:cs="Arial"/>
          <w:color w:val="000000"/>
          <w:sz w:val="19"/>
          <w:szCs w:val="19"/>
          <w:lang w:eastAsia="fr-FR"/>
        </w:rPr>
        <w:t> relative aux associations syndicales de propriétaires.</w:t>
      </w:r>
      <w:r w:rsidRPr="00874A27">
        <w:rPr>
          <w:rFonts w:ascii="Arial" w:eastAsia="Times New Roman" w:hAnsi="Arial" w:cs="Arial"/>
          <w:color w:val="000000"/>
          <w:sz w:val="19"/>
          <w:szCs w:val="19"/>
          <w:lang w:eastAsia="fr-FR"/>
        </w:rPr>
        <w:br/>
        <w:t>« Une copie du dossier est transmise à la commune ou à l'établissement public de coopération intercommunale compétent en matière de plan local d'urbanisme, sur le territoire duquel est prévu le projet de l'association.</w:t>
      </w:r>
      <w:r w:rsidRPr="00874A27">
        <w:rPr>
          <w:rFonts w:ascii="Arial" w:eastAsia="Times New Roman" w:hAnsi="Arial" w:cs="Arial"/>
          <w:color w:val="000000"/>
          <w:sz w:val="19"/>
          <w:szCs w:val="19"/>
          <w:lang w:eastAsia="fr-FR"/>
        </w:rPr>
        <w:br/>
        <w:t>« Art. L. 322-15. - L'autorité administrative soumet le projet de création de l'association à enquête publique, conformément à l'</w:t>
      </w:r>
      <w:hyperlink r:id="rId658" w:history="1">
        <w:r w:rsidRPr="00874A27">
          <w:rPr>
            <w:rFonts w:ascii="Arial" w:eastAsia="Times New Roman" w:hAnsi="Arial" w:cs="Arial"/>
            <w:color w:val="336699"/>
            <w:sz w:val="19"/>
            <w:szCs w:val="19"/>
            <w:u w:val="single"/>
            <w:lang w:eastAsia="fr-FR"/>
          </w:rPr>
          <w:t>article 12 de l'ordonnance n° 2004-632 du 1er juillet 2004 précitée</w:t>
        </w:r>
      </w:hyperlink>
      <w:r w:rsidRPr="00874A27">
        <w:rPr>
          <w:rFonts w:ascii="Arial" w:eastAsia="Times New Roman" w:hAnsi="Arial" w:cs="Arial"/>
          <w:color w:val="000000"/>
          <w:sz w:val="19"/>
          <w:szCs w:val="19"/>
          <w:lang w:eastAsia="fr-FR"/>
        </w:rPr>
        <w:t>. Le dossier d'enquête publique comprend, le cas échéant, les prescriptions mentionnées à l'article L. 322-6.</w:t>
      </w:r>
      <w:r w:rsidRPr="00874A27">
        <w:rPr>
          <w:rFonts w:ascii="Arial" w:eastAsia="Times New Roman" w:hAnsi="Arial" w:cs="Arial"/>
          <w:color w:val="000000"/>
          <w:sz w:val="19"/>
          <w:szCs w:val="19"/>
          <w:lang w:eastAsia="fr-FR"/>
        </w:rPr>
        <w:br/>
        <w:t>« Après enquête publique, l'autorité administrative peut, après avoir recueilli l'accord du conseil municipal ou de l'organe délibérant de l'établissement public de coopération intercommunale compétent en matière de plan local d'urbanisme, autoriser la création de l'association foncière urbaine.</w:t>
      </w:r>
      <w:r w:rsidRPr="00874A27">
        <w:rPr>
          <w:rFonts w:ascii="Arial" w:eastAsia="Times New Roman" w:hAnsi="Arial" w:cs="Arial"/>
          <w:color w:val="000000"/>
          <w:sz w:val="19"/>
          <w:szCs w:val="19"/>
          <w:lang w:eastAsia="fr-FR"/>
        </w:rPr>
        <w:br/>
        <w:t>« Lorsque le projet de l'association est prévu dans le cadre d'une opération d'intérêt national, l'autorité administrative peut, sur avis du conseil municipal ou de l'organe délibérant de l'établissement public de coopération intercommunale compétent en matière de plan local d'urbanisme, autoriser la création de l'association foncière urbaine de projet.</w:t>
      </w:r>
      <w:r w:rsidRPr="00874A27">
        <w:rPr>
          <w:rFonts w:ascii="Arial" w:eastAsia="Times New Roman" w:hAnsi="Arial" w:cs="Arial"/>
          <w:color w:val="000000"/>
          <w:sz w:val="19"/>
          <w:szCs w:val="19"/>
          <w:lang w:eastAsia="fr-FR"/>
        </w:rPr>
        <w:br/>
        <w:t>« L'acte autorisant la création de l'association foncière urbaine de projet est publié, affiché dans chaque commune sur le territoire de laquelle s'étend le périmètre de l'association et notifié aux propriétaires, dans les conditions prévues par décret en Conseil d'Etat.</w:t>
      </w:r>
      <w:r w:rsidRPr="00874A27">
        <w:rPr>
          <w:rFonts w:ascii="Arial" w:eastAsia="Times New Roman" w:hAnsi="Arial" w:cs="Arial"/>
          <w:color w:val="000000"/>
          <w:sz w:val="19"/>
          <w:szCs w:val="19"/>
          <w:lang w:eastAsia="fr-FR"/>
        </w:rPr>
        <w:br/>
        <w:t>« Art. L. 322-16. - Les dispositions relatives à la modification des conditions initiales de l'association foncière urbaine de projet sont régies par la </w:t>
      </w:r>
      <w:hyperlink r:id="rId659" w:history="1">
        <w:r w:rsidRPr="00874A27">
          <w:rPr>
            <w:rFonts w:ascii="Arial" w:eastAsia="Times New Roman" w:hAnsi="Arial" w:cs="Arial"/>
            <w:color w:val="336699"/>
            <w:sz w:val="19"/>
            <w:szCs w:val="19"/>
            <w:u w:val="single"/>
            <w:lang w:eastAsia="fr-FR"/>
          </w:rPr>
          <w:t>section 1 du chapitre IV du titre III de l'ordonnance n° 2004-632 du 1er juillet 2004 précitée</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Toutefois, par dérogation à ces dispositions, les statuts peuvent prévoir que, lorsqu'un membre de l'association souhaite vendre tout ou partie de ses terrains aménagés à un acquéreur qui ne veut pas être inclus dans le périmètre de l'association foncière urbaine de projet et les distraire du périmètre de l'association, l'assemblée générale de l'association, à la majorité des propriétaires représentant au moins les deux tiers de la superficie des terrains de l'association ou au moins les deux tiers des propriétaires représentant plus de la moitié des superficies des terrains, peut approuver, sans enquête publique préalable, la distraction des terrains à vendre du périmètre de l'association et fixer les conditions financières dans lesquelles le vendeur reste redevable des emprunts et des participations prévues.</w:t>
      </w:r>
      <w:r w:rsidRPr="00874A27">
        <w:rPr>
          <w:rFonts w:ascii="Arial" w:eastAsia="Times New Roman" w:hAnsi="Arial" w:cs="Arial"/>
          <w:color w:val="000000"/>
          <w:sz w:val="19"/>
          <w:szCs w:val="19"/>
          <w:lang w:eastAsia="fr-FR"/>
        </w:rPr>
        <w:br/>
        <w:t>« En dessous d'un seuil de surface fixé par décret en Conseil d'Etat, la décision de distraction de ces terrains peut être prise à la majorité des membres de l'association.</w:t>
      </w:r>
      <w:r w:rsidRPr="00874A27">
        <w:rPr>
          <w:rFonts w:ascii="Arial" w:eastAsia="Times New Roman" w:hAnsi="Arial" w:cs="Arial"/>
          <w:color w:val="000000"/>
          <w:sz w:val="19"/>
          <w:szCs w:val="19"/>
          <w:lang w:eastAsia="fr-FR"/>
        </w:rPr>
        <w:br/>
        <w:t>« En cas de distraction approuvée, l'autorité administrative qui a autorisé la création de l'association foncière urbaine de projet modifie son périmètre en conséquence. »</w:t>
      </w:r>
      <w:r w:rsidRPr="00874A27">
        <w:rPr>
          <w:rFonts w:ascii="Arial" w:eastAsia="Times New Roman" w:hAnsi="Arial" w:cs="Arial"/>
          <w:color w:val="000000"/>
          <w:sz w:val="19"/>
          <w:szCs w:val="19"/>
          <w:lang w:eastAsia="fr-FR"/>
        </w:rPr>
        <w:br/>
        <w:t>II. ― L'article L. 332-12 du même code est ainsi modifié :</w:t>
      </w:r>
      <w:r w:rsidRPr="00874A27">
        <w:rPr>
          <w:rFonts w:ascii="Arial" w:eastAsia="Times New Roman" w:hAnsi="Arial" w:cs="Arial"/>
          <w:color w:val="000000"/>
          <w:sz w:val="19"/>
          <w:szCs w:val="19"/>
          <w:lang w:eastAsia="fr-FR"/>
        </w:rPr>
        <w:br/>
        <w:t>1° Le premier alinéa est complété par les mots : « , ainsi qu'aux associations foncières urbaines de projet » ;</w:t>
      </w:r>
      <w:r w:rsidRPr="00874A27">
        <w:rPr>
          <w:rFonts w:ascii="Arial" w:eastAsia="Times New Roman" w:hAnsi="Arial" w:cs="Arial"/>
          <w:color w:val="000000"/>
          <w:sz w:val="19"/>
          <w:szCs w:val="19"/>
          <w:lang w:eastAsia="fr-FR"/>
        </w:rPr>
        <w:br/>
        <w:t>2° Le deuxième alinéa est complété par les mots : « ou de l'association foncière urbaine de projet par l'acte autorisant sa création » ;</w:t>
      </w:r>
      <w:r w:rsidRPr="00874A27">
        <w:rPr>
          <w:rFonts w:ascii="Arial" w:eastAsia="Times New Roman" w:hAnsi="Arial" w:cs="Arial"/>
          <w:color w:val="000000"/>
          <w:sz w:val="19"/>
          <w:szCs w:val="19"/>
          <w:lang w:eastAsia="fr-FR"/>
        </w:rPr>
        <w:br/>
        <w:t>3° Au c, la référence : « ou à l'article L. 332-11-3 » est supprimée ;</w:t>
      </w:r>
      <w:r w:rsidRPr="00874A27">
        <w:rPr>
          <w:rFonts w:ascii="Arial" w:eastAsia="Times New Roman" w:hAnsi="Arial" w:cs="Arial"/>
          <w:color w:val="000000"/>
          <w:sz w:val="19"/>
          <w:szCs w:val="19"/>
          <w:lang w:eastAsia="fr-FR"/>
        </w:rPr>
        <w:br/>
        <w:t>4° Après le d, il est inséré un e ainsi rédigé :</w:t>
      </w:r>
      <w:r w:rsidRPr="00874A27">
        <w:rPr>
          <w:rFonts w:ascii="Arial" w:eastAsia="Times New Roman" w:hAnsi="Arial" w:cs="Arial"/>
          <w:color w:val="000000"/>
          <w:sz w:val="19"/>
          <w:szCs w:val="19"/>
          <w:lang w:eastAsia="fr-FR"/>
        </w:rPr>
        <w:br/>
        <w:t>« e) La taxe d'aménagement prévue aux articles L. 331-1 et suivants. » ;</w:t>
      </w:r>
      <w:r w:rsidRPr="00874A27">
        <w:rPr>
          <w:rFonts w:ascii="Arial" w:eastAsia="Times New Roman" w:hAnsi="Arial" w:cs="Arial"/>
          <w:color w:val="000000"/>
          <w:sz w:val="19"/>
          <w:szCs w:val="19"/>
          <w:lang w:eastAsia="fr-FR"/>
        </w:rPr>
        <w:br/>
        <w:t>5° Le dernier alinéa est complété par les mots : « ou de l'association foncière urbaine de projet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63" w:name="JORFARTI000028774779"/>
      <w:bookmarkEnd w:id="163"/>
      <w:r w:rsidRPr="00874A27">
        <w:rPr>
          <w:rFonts w:ascii="Arial" w:eastAsia="Times New Roman" w:hAnsi="Arial" w:cs="Arial"/>
          <w:b/>
          <w:bCs/>
          <w:color w:val="000000"/>
          <w:sz w:val="23"/>
          <w:szCs w:val="23"/>
          <w:lang w:eastAsia="fr-FR"/>
        </w:rPr>
        <w:t>Article 164 </w:t>
      </w:r>
      <w:hyperlink r:id="rId660" w:tooltip="En savoir plus sur l'article 16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titre II du livre III du même code est complété par un chapitre IXainsi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Chapitre IX</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329-1.-Les organismes de foncier solidaire sont des organismes sans but lucratif agréés par le représentant de l'Etat dans la région, qui, pour tout ou partie de leur activité, ont pour objet d'acquérir et de gérer des terrains, bâtis ou non, en vue de réaliser des logements et des équipements collectifs conformément aux objectifs de l'</w:t>
      </w:r>
      <w:hyperlink r:id="rId661" w:history="1">
        <w:r w:rsidRPr="00874A27">
          <w:rPr>
            <w:rFonts w:ascii="Arial" w:eastAsia="Times New Roman" w:hAnsi="Arial" w:cs="Arial"/>
            <w:color w:val="336699"/>
            <w:sz w:val="19"/>
            <w:szCs w:val="19"/>
            <w:u w:val="single"/>
            <w:lang w:eastAsia="fr-FR"/>
          </w:rPr>
          <w:t>article L. 301-1 du code de la construction et de l'habitation</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L'organisme de foncier solidaire reste propriétaire des terrains et consent au preneur, dans le cadre d'un bail de longue durée, s'il y a lieu avec obligation de construire ou de réhabiliter des constructions existantes, des droits réels en vue de la location ou de l'accession à la propriété des logements, à usage d'habitation principale ou à usage mixte professionnel et d'habitation principale, sous des conditions de plafond de ressources, de loyers et, le cas échéant, de prix de cession.</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L'organisme de foncier solidaire peut bénéficier de la décote prévue à l'</w:t>
      </w:r>
      <w:hyperlink r:id="rId662" w:history="1">
        <w:r w:rsidRPr="00874A27">
          <w:rPr>
            <w:rFonts w:ascii="Arial" w:eastAsia="Times New Roman" w:hAnsi="Arial" w:cs="Arial"/>
            <w:color w:val="336699"/>
            <w:sz w:val="19"/>
            <w:szCs w:val="19"/>
            <w:u w:val="single"/>
            <w:lang w:eastAsia="fr-FR"/>
          </w:rPr>
          <w:t>article L. 3211-7 du code général de la propriété des personnes publiques</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Un décret en Conseil d'Etat détermine les conditions d'application du présent article.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64" w:name="JORFARTI000028774785"/>
      <w:bookmarkEnd w:id="164"/>
      <w:r w:rsidRPr="00874A27">
        <w:rPr>
          <w:rFonts w:ascii="Arial" w:eastAsia="Times New Roman" w:hAnsi="Arial" w:cs="Arial"/>
          <w:b/>
          <w:bCs/>
          <w:color w:val="000000"/>
          <w:sz w:val="23"/>
          <w:szCs w:val="23"/>
          <w:lang w:eastAsia="fr-FR"/>
        </w:rPr>
        <w:t>Article 165 </w:t>
      </w:r>
      <w:hyperlink r:id="rId663" w:tooltip="En savoir plus sur l'article 16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332-11-3 du même code est ainsi modifié :</w:t>
      </w:r>
      <w:r w:rsidRPr="00874A27">
        <w:rPr>
          <w:rFonts w:ascii="Arial" w:eastAsia="Times New Roman" w:hAnsi="Arial" w:cs="Arial"/>
          <w:color w:val="000000"/>
          <w:sz w:val="19"/>
          <w:szCs w:val="19"/>
          <w:lang w:eastAsia="fr-FR"/>
        </w:rPr>
        <w:br/>
        <w:t>1° Au début du premier alinéa, est ajoutée la mention : « I. ― » ;</w:t>
      </w:r>
      <w:r w:rsidRPr="00874A27">
        <w:rPr>
          <w:rFonts w:ascii="Arial" w:eastAsia="Times New Roman" w:hAnsi="Arial" w:cs="Arial"/>
          <w:color w:val="000000"/>
          <w:sz w:val="19"/>
          <w:szCs w:val="19"/>
          <w:lang w:eastAsia="fr-FR"/>
        </w:rPr>
        <w:br/>
        <w:t>2° Sont ajoutés des II et III ainsi rédigés :</w:t>
      </w:r>
      <w:r w:rsidRPr="00874A27">
        <w:rPr>
          <w:rFonts w:ascii="Arial" w:eastAsia="Times New Roman" w:hAnsi="Arial" w:cs="Arial"/>
          <w:color w:val="000000"/>
          <w:sz w:val="19"/>
          <w:szCs w:val="19"/>
          <w:lang w:eastAsia="fr-FR"/>
        </w:rPr>
        <w:br/>
        <w:t>« II. ― Lorsque des équipements publics ayant vocation à faire l'objet d'une première convention de projet urbain partenarial desservent des terrains autres que ceux mentionnés dans le projet de ladite convention, par décision de leur organe délibérant, la commune ou l'établissement public compétent en matière de plan local d'urbanisme, ou le représentant de l'Etat par arrêté, dans le cadre des opérations d'intérêt national, fixe les modalités de partage des coûts des équipements et délimite un périmètre à l'intérieur duquel les propriétaires fonciers, les aménageurs ou les constructeurs qui s'y livrent à des opérations d'aménagement ou de construction participent, dans le cadre de conventions, à la prise en charge de ces mêmes équipements publics, qu'ils soient encore à réaliser ou déjà réalisés, dès lors qu'ils répondent aux besoins des futurs habitants ou usagers de leurs opérations. Les conventions successivement établies peuvent viser des programmes d'équipements publics différents lorsque les opérations de construction attendues dans chaque périmètre de convention ne nécessitent pas les mêmes besoins en équipements.</w:t>
      </w:r>
      <w:r w:rsidRPr="00874A27">
        <w:rPr>
          <w:rFonts w:ascii="Arial" w:eastAsia="Times New Roman" w:hAnsi="Arial" w:cs="Arial"/>
          <w:color w:val="000000"/>
          <w:sz w:val="19"/>
          <w:szCs w:val="19"/>
          <w:lang w:eastAsia="fr-FR"/>
        </w:rPr>
        <w:br/>
        <w:t>« Le périmètre est délimité par délibération du conseil municipal ou de l'organe délibérant de l'établissement public ou, dans le cadre des opérations d'intérêt national, par arrêté préfectoral, pour une durée maximale de quinze ans.</w:t>
      </w:r>
      <w:r w:rsidRPr="00874A27">
        <w:rPr>
          <w:rFonts w:ascii="Arial" w:eastAsia="Times New Roman" w:hAnsi="Arial" w:cs="Arial"/>
          <w:color w:val="000000"/>
          <w:sz w:val="19"/>
          <w:szCs w:val="19"/>
          <w:lang w:eastAsia="fr-FR"/>
        </w:rPr>
        <w:br/>
        <w:t>« III. ― Avant la conclusion de la convention, les personnes ayant qualité pour déposer une demande de permis de construire ou d'aménager peuvent demander à la commune ou à l'établissement public de coopération intercommunale compétent en matière de plan local d'urbanisme ou au représentant de l'Etat dans le cadre des opérations d'intérêt national qu'ils étudient le projet d'aménagement ou de construction et que ce projet fasse l'objet d'un débat au sein de l'organe délibérant. L'autorité compétente peut faire droit à cette demande.</w:t>
      </w:r>
      <w:r w:rsidRPr="00874A27">
        <w:rPr>
          <w:rFonts w:ascii="Arial" w:eastAsia="Times New Roman" w:hAnsi="Arial" w:cs="Arial"/>
          <w:color w:val="000000"/>
          <w:sz w:val="19"/>
          <w:szCs w:val="19"/>
          <w:lang w:eastAsia="fr-FR"/>
        </w:rPr>
        <w:br/>
        <w:t>« La demande est assortie d'un dossier comportant la délimitation du périmètre du projet d'aménagement ou de construction, la définition du projet ainsi que la liste des équipements publics à réaliser pour répondre aux besoins des futurs habitants ou usagers des constructions à édifier dans le périmètre.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65" w:name="JORFARTI000028774789"/>
      <w:bookmarkEnd w:id="165"/>
      <w:r w:rsidRPr="00874A27">
        <w:rPr>
          <w:rFonts w:ascii="Arial" w:eastAsia="Times New Roman" w:hAnsi="Arial" w:cs="Arial"/>
          <w:b/>
          <w:bCs/>
          <w:color w:val="000000"/>
          <w:sz w:val="23"/>
          <w:szCs w:val="23"/>
          <w:lang w:eastAsia="fr-FR"/>
        </w:rPr>
        <w:t>Article 166 </w:t>
      </w:r>
      <w:hyperlink r:id="rId664" w:tooltip="En savoir plus sur l'article 16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Les contrats de développement territorial, prévus par la </w:t>
      </w:r>
      <w:hyperlink r:id="rId665" w:history="1">
        <w:r w:rsidRPr="00874A27">
          <w:rPr>
            <w:rFonts w:ascii="Arial" w:eastAsia="Times New Roman" w:hAnsi="Arial" w:cs="Arial"/>
            <w:color w:val="336699"/>
            <w:sz w:val="19"/>
            <w:szCs w:val="19"/>
            <w:u w:val="single"/>
            <w:lang w:eastAsia="fr-FR"/>
          </w:rPr>
          <w:t>loi n° 2010-597 du 3 juin 2010</w:t>
        </w:r>
      </w:hyperlink>
      <w:r w:rsidRPr="00874A27">
        <w:rPr>
          <w:rFonts w:ascii="Arial" w:eastAsia="Times New Roman" w:hAnsi="Arial" w:cs="Arial"/>
          <w:color w:val="000000"/>
          <w:sz w:val="19"/>
          <w:szCs w:val="19"/>
          <w:lang w:eastAsia="fr-FR"/>
        </w:rPr>
        <w:t> relative au Grand Paris, peuvent, pour répondre aux enjeux spécifiques de renouvellement urbain qu'ils identifient et dans un but de mixité sociale et d'amélioration de la qualité de vie des populations, prévoir des opérations de réhabilitation ou de réaménagement urbain en zone C des plans d'exposition au bruit. Par dérogation à la condition posée par le </w:t>
      </w:r>
      <w:hyperlink r:id="rId666" w:history="1">
        <w:r w:rsidRPr="00874A27">
          <w:rPr>
            <w:rFonts w:ascii="Arial" w:eastAsia="Times New Roman" w:hAnsi="Arial" w:cs="Arial"/>
            <w:color w:val="336699"/>
            <w:sz w:val="19"/>
            <w:szCs w:val="19"/>
            <w:u w:val="single"/>
            <w:lang w:eastAsia="fr-FR"/>
          </w:rPr>
          <w:t>5° de l'article L. 147-5 du code de l'urbanisme</w:t>
        </w:r>
      </w:hyperlink>
      <w:r w:rsidRPr="00874A27">
        <w:rPr>
          <w:rFonts w:ascii="Arial" w:eastAsia="Times New Roman" w:hAnsi="Arial" w:cs="Arial"/>
          <w:color w:val="000000"/>
          <w:sz w:val="19"/>
          <w:szCs w:val="19"/>
          <w:lang w:eastAsia="fr-FR"/>
        </w:rPr>
        <w:t>, ces opérations peuvent entraîner une augmentation de la population soumise aux nuisances sonores, sans toutefois qu'il puisse s'agir d'une augmentation significative.</w:t>
      </w:r>
      <w:r w:rsidRPr="00874A27">
        <w:rPr>
          <w:rFonts w:ascii="Arial" w:eastAsia="Times New Roman" w:hAnsi="Arial" w:cs="Arial"/>
          <w:color w:val="000000"/>
          <w:sz w:val="19"/>
          <w:szCs w:val="19"/>
          <w:lang w:eastAsia="fr-FR"/>
        </w:rPr>
        <w:br/>
        <w:t>Le contrat de développement territorial précise alors le contenu de ces opérations et délimite les périmètres concernés. Il définit des mesures de suivi de ces opérations, au regard notamment de l'augmentation de la population, précise l'augmentation de la capacité de logement résultant de ces opérations et prévoit des mesures permettant de limiter l'impact des nuisances sonores sur la qualité de vie des populations exposées.</w:t>
      </w:r>
      <w:r w:rsidRPr="00874A27">
        <w:rPr>
          <w:rFonts w:ascii="Arial" w:eastAsia="Times New Roman" w:hAnsi="Arial" w:cs="Arial"/>
          <w:color w:val="000000"/>
          <w:sz w:val="19"/>
          <w:szCs w:val="19"/>
          <w:lang w:eastAsia="fr-FR"/>
        </w:rPr>
        <w:br/>
        <w:t>II. ― Le contrat de développement territorial est révisé dans les conditions prévues à l'</w:t>
      </w:r>
      <w:hyperlink r:id="rId667" w:history="1">
        <w:r w:rsidRPr="00874A27">
          <w:rPr>
            <w:rFonts w:ascii="Arial" w:eastAsia="Times New Roman" w:hAnsi="Arial" w:cs="Arial"/>
            <w:color w:val="336699"/>
            <w:sz w:val="19"/>
            <w:szCs w:val="19"/>
            <w:u w:val="single"/>
            <w:lang w:eastAsia="fr-FR"/>
          </w:rPr>
          <w:t>article 15 du décret n° 2011-724 du 24 juin 2011</w:t>
        </w:r>
      </w:hyperlink>
      <w:r w:rsidRPr="00874A27">
        <w:rPr>
          <w:rFonts w:ascii="Arial" w:eastAsia="Times New Roman" w:hAnsi="Arial" w:cs="Arial"/>
          <w:color w:val="000000"/>
          <w:sz w:val="19"/>
          <w:szCs w:val="19"/>
          <w:lang w:eastAsia="fr-FR"/>
        </w:rPr>
        <w:t> relatif aux contrats de développement territorial prévus par l'</w:t>
      </w:r>
      <w:hyperlink r:id="rId668" w:history="1">
        <w:r w:rsidRPr="00874A27">
          <w:rPr>
            <w:rFonts w:ascii="Arial" w:eastAsia="Times New Roman" w:hAnsi="Arial" w:cs="Arial"/>
            <w:color w:val="336699"/>
            <w:sz w:val="19"/>
            <w:szCs w:val="19"/>
            <w:u w:val="single"/>
            <w:lang w:eastAsia="fr-FR"/>
          </w:rPr>
          <w:t>article 21 de la loi n° 2010-597 du 3 juin 2010</w:t>
        </w:r>
      </w:hyperlink>
      <w:r w:rsidRPr="00874A27">
        <w:rPr>
          <w:rFonts w:ascii="Arial" w:eastAsia="Times New Roman" w:hAnsi="Arial" w:cs="Arial"/>
          <w:color w:val="000000"/>
          <w:sz w:val="19"/>
          <w:szCs w:val="19"/>
          <w:lang w:eastAsia="fr-FR"/>
        </w:rPr>
        <w:t> relative au Grand Paris pour inclure les dispositions mentionnées au I du présent article. Ces dernières ne peuvent être incluses que dans les contrats de développement territorial conclus ou révisés au plus tard un an après la promulgation de la présente loi.</w:t>
      </w:r>
      <w:r w:rsidRPr="00874A27">
        <w:rPr>
          <w:rFonts w:ascii="Arial" w:eastAsia="Times New Roman" w:hAnsi="Arial" w:cs="Arial"/>
          <w:color w:val="000000"/>
          <w:sz w:val="19"/>
          <w:szCs w:val="19"/>
          <w:lang w:eastAsia="fr-FR"/>
        </w:rPr>
        <w:br/>
        <w:t>III. ― Après l'article 21 de la loi n° 2010-597 du 3 juin 2010 relative au Grand Paris, il est inséré un article 21-1 ainsi rédigé :</w:t>
      </w:r>
      <w:r w:rsidRPr="00874A27">
        <w:rPr>
          <w:rFonts w:ascii="Arial" w:eastAsia="Times New Roman" w:hAnsi="Arial" w:cs="Arial"/>
          <w:color w:val="000000"/>
          <w:sz w:val="19"/>
          <w:szCs w:val="19"/>
          <w:lang w:eastAsia="fr-FR"/>
        </w:rPr>
        <w:br/>
        <w:t xml:space="preserve">« Art. 21-1. - I. ― Sur les territoires de l'unité urbaine de Paris qui ne sont pas inclus dans le périmètre d'un contrat de développement territorial pour lequel la décision d'ouverture de l'enquête publique réalisée conformément aux dispositions du chapitre III du titre II du livre Ier du code de </w:t>
      </w:r>
      <w:r w:rsidRPr="00874A27">
        <w:rPr>
          <w:rFonts w:ascii="Arial" w:eastAsia="Times New Roman" w:hAnsi="Arial" w:cs="Arial"/>
          <w:color w:val="000000"/>
          <w:sz w:val="19"/>
          <w:szCs w:val="19"/>
          <w:lang w:eastAsia="fr-FR"/>
        </w:rPr>
        <w:lastRenderedPageBreak/>
        <w:t>l'environnement est intervenue au plus tard à la date mentionnée au cinquième alinéa du I de l'article 21 de la présente loi, des contrats de développement d'intérêt territorial peuvent être conclus entre le représentant de l'Etat dans la région, d'une part, et les communes et les établissements publics de coopération intercommunale pour les objets relevant de leurs compétences, d'autre part.</w:t>
      </w:r>
      <w:r w:rsidRPr="00874A27">
        <w:rPr>
          <w:rFonts w:ascii="Arial" w:eastAsia="Times New Roman" w:hAnsi="Arial" w:cs="Arial"/>
          <w:color w:val="000000"/>
          <w:sz w:val="19"/>
          <w:szCs w:val="19"/>
          <w:lang w:eastAsia="fr-FR"/>
        </w:rPr>
        <w:br/>
        <w:t>« La région et les départements territorialement concernés peuvent également, à leur demande, en être signataires.</w:t>
      </w:r>
      <w:r w:rsidRPr="00874A27">
        <w:rPr>
          <w:rFonts w:ascii="Arial" w:eastAsia="Times New Roman" w:hAnsi="Arial" w:cs="Arial"/>
          <w:color w:val="000000"/>
          <w:sz w:val="19"/>
          <w:szCs w:val="19"/>
          <w:lang w:eastAsia="fr-FR"/>
        </w:rPr>
        <w:br/>
        <w:t>« Ces contrats ont notamment pour objet la définition d'une stratégie de développement à une échelle cohérente avec les dynamiques territoriales à l'œuvre, et la déclinaison des objectifs de production de logement fixés à l'article 1er.</w:t>
      </w:r>
      <w:r w:rsidRPr="00874A27">
        <w:rPr>
          <w:rFonts w:ascii="Arial" w:eastAsia="Times New Roman" w:hAnsi="Arial" w:cs="Arial"/>
          <w:color w:val="000000"/>
          <w:sz w:val="19"/>
          <w:szCs w:val="19"/>
          <w:lang w:eastAsia="fr-FR"/>
        </w:rPr>
        <w:br/>
        <w:t>« Ils définissent, dans le respect des principes énoncés aux articles </w:t>
      </w:r>
      <w:hyperlink r:id="rId669" w:history="1">
        <w:r w:rsidRPr="00874A27">
          <w:rPr>
            <w:rFonts w:ascii="Arial" w:eastAsia="Times New Roman" w:hAnsi="Arial" w:cs="Arial"/>
            <w:color w:val="336699"/>
            <w:sz w:val="19"/>
            <w:szCs w:val="19"/>
            <w:u w:val="single"/>
            <w:lang w:eastAsia="fr-FR"/>
          </w:rPr>
          <w:t>L. 110</w:t>
        </w:r>
      </w:hyperlink>
      <w:r w:rsidRPr="00874A27">
        <w:rPr>
          <w:rFonts w:ascii="Arial" w:eastAsia="Times New Roman" w:hAnsi="Arial" w:cs="Arial"/>
          <w:color w:val="000000"/>
          <w:sz w:val="19"/>
          <w:szCs w:val="19"/>
          <w:lang w:eastAsia="fr-FR"/>
        </w:rPr>
        <w:t> et </w:t>
      </w:r>
      <w:hyperlink r:id="rId670" w:history="1">
        <w:r w:rsidRPr="00874A27">
          <w:rPr>
            <w:rFonts w:ascii="Arial" w:eastAsia="Times New Roman" w:hAnsi="Arial" w:cs="Arial"/>
            <w:color w:val="336699"/>
            <w:sz w:val="19"/>
            <w:szCs w:val="19"/>
            <w:u w:val="single"/>
            <w:lang w:eastAsia="fr-FR"/>
          </w:rPr>
          <w:t>L. 121-1</w:t>
        </w:r>
      </w:hyperlink>
      <w:r w:rsidRPr="00874A27">
        <w:rPr>
          <w:rFonts w:ascii="Arial" w:eastAsia="Times New Roman" w:hAnsi="Arial" w:cs="Arial"/>
          <w:color w:val="000000"/>
          <w:sz w:val="19"/>
          <w:szCs w:val="19"/>
          <w:lang w:eastAsia="fr-FR"/>
        </w:rPr>
        <w:t> du code de l'urbanisme, les objectifs et les priorités en matière d'urbanisme, de logement, de politique de la ville, de transports, de déplacements et de lutte contre l'étalement urbain, d'équipement commercial, de développement économique, notamment de l'économie sociale et solidaire, sportif et culturel, de protection des espaces naturels, agricoles et forestiers et des paysages et des ressources naturelles.</w:t>
      </w:r>
      <w:r w:rsidRPr="00874A27">
        <w:rPr>
          <w:rFonts w:ascii="Arial" w:eastAsia="Times New Roman" w:hAnsi="Arial" w:cs="Arial"/>
          <w:color w:val="000000"/>
          <w:sz w:val="19"/>
          <w:szCs w:val="19"/>
          <w:lang w:eastAsia="fr-FR"/>
        </w:rPr>
        <w:br/>
        <w:t>« Chaque contrat porte sur le développement d'un territoire inclus dans un ensemble de communes d'un seul tenant et sans enclave.</w:t>
      </w:r>
      <w:r w:rsidRPr="00874A27">
        <w:rPr>
          <w:rFonts w:ascii="Arial" w:eastAsia="Times New Roman" w:hAnsi="Arial" w:cs="Arial"/>
          <w:color w:val="000000"/>
          <w:sz w:val="19"/>
          <w:szCs w:val="19"/>
          <w:lang w:eastAsia="fr-FR"/>
        </w:rPr>
        <w:br/>
        <w:t>« II. ― Le contrat comprend notamment :</w:t>
      </w:r>
      <w:r w:rsidRPr="00874A27">
        <w:rPr>
          <w:rFonts w:ascii="Arial" w:eastAsia="Times New Roman" w:hAnsi="Arial" w:cs="Arial"/>
          <w:color w:val="000000"/>
          <w:sz w:val="19"/>
          <w:szCs w:val="19"/>
          <w:lang w:eastAsia="fr-FR"/>
        </w:rPr>
        <w:br/>
        <w:t>« 1° Une présentation du projet de territoire, et de la manière dont il contribue à la mise en œuvre des objectifs définis au I ;</w:t>
      </w:r>
      <w:r w:rsidRPr="00874A27">
        <w:rPr>
          <w:rFonts w:ascii="Arial" w:eastAsia="Times New Roman" w:hAnsi="Arial" w:cs="Arial"/>
          <w:color w:val="000000"/>
          <w:sz w:val="19"/>
          <w:szCs w:val="19"/>
          <w:lang w:eastAsia="fr-FR"/>
        </w:rPr>
        <w:br/>
        <w:t>« 2° Le nombre de logements et le pourcentage de logements sociaux à réaliser. Ces objectifs sont fixés sur la base d'un diagnostic spécifique tenant compte de la situation locale en matière de logement et de logement social. Ils ne peuvent être inférieurs à ceux prévus dans le cadre du programme local de l'habitat.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66" w:name="JORFARTI000028774799"/>
      <w:bookmarkEnd w:id="166"/>
      <w:r w:rsidRPr="00874A27">
        <w:rPr>
          <w:rFonts w:ascii="Arial" w:eastAsia="Times New Roman" w:hAnsi="Arial" w:cs="Arial"/>
          <w:b/>
          <w:bCs/>
          <w:color w:val="000000"/>
          <w:sz w:val="23"/>
          <w:szCs w:val="23"/>
          <w:lang w:eastAsia="fr-FR"/>
        </w:rPr>
        <w:t>Article 167 </w:t>
      </w:r>
      <w:hyperlink r:id="rId671" w:tooltip="En savoir plus sur l'article 16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300-3 du code de l'urbanisme est ainsi rétabli :</w:t>
      </w:r>
      <w:r w:rsidRPr="00874A27">
        <w:rPr>
          <w:rFonts w:ascii="Arial" w:eastAsia="Times New Roman" w:hAnsi="Arial" w:cs="Arial"/>
          <w:color w:val="000000"/>
          <w:sz w:val="19"/>
          <w:szCs w:val="19"/>
          <w:lang w:eastAsia="fr-FR"/>
        </w:rPr>
        <w:br/>
        <w:t>« Art. L. 300-3.-I. ― L'Etat, les collectivités territoriales et leurs établissements publics peuvent, par convention de mandat passée avec toute personne publique ou privée et dans les conditions prévues par le </w:t>
      </w:r>
      <w:hyperlink r:id="rId672" w:history="1">
        <w:r w:rsidRPr="00874A27">
          <w:rPr>
            <w:rFonts w:ascii="Arial" w:eastAsia="Times New Roman" w:hAnsi="Arial" w:cs="Arial"/>
            <w:color w:val="336699"/>
            <w:sz w:val="19"/>
            <w:szCs w:val="19"/>
            <w:u w:val="single"/>
            <w:lang w:eastAsia="fr-FR"/>
          </w:rPr>
          <w:t>code des marchés publics </w:t>
        </w:r>
      </w:hyperlink>
      <w:r w:rsidRPr="00874A27">
        <w:rPr>
          <w:rFonts w:ascii="Arial" w:eastAsia="Times New Roman" w:hAnsi="Arial" w:cs="Arial"/>
          <w:color w:val="000000"/>
          <w:sz w:val="19"/>
          <w:szCs w:val="19"/>
          <w:lang w:eastAsia="fr-FR"/>
        </w:rPr>
        <w:t>ou par l'</w:t>
      </w:r>
      <w:hyperlink r:id="rId673" w:history="1">
        <w:r w:rsidRPr="00874A27">
          <w:rPr>
            <w:rFonts w:ascii="Arial" w:eastAsia="Times New Roman" w:hAnsi="Arial" w:cs="Arial"/>
            <w:color w:val="336699"/>
            <w:sz w:val="19"/>
            <w:szCs w:val="19"/>
            <w:u w:val="single"/>
            <w:lang w:eastAsia="fr-FR"/>
          </w:rPr>
          <w:t>ordonnance n° 2005-649 du 6 juin 2005 </w:t>
        </w:r>
      </w:hyperlink>
      <w:r w:rsidRPr="00874A27">
        <w:rPr>
          <w:rFonts w:ascii="Arial" w:eastAsia="Times New Roman" w:hAnsi="Arial" w:cs="Arial"/>
          <w:color w:val="000000"/>
          <w:sz w:val="19"/>
          <w:szCs w:val="19"/>
          <w:lang w:eastAsia="fr-FR"/>
        </w:rPr>
        <w:t>relative aux marchés passés par certaines personnes publiques ou privées non soumises au </w:t>
      </w:r>
      <w:hyperlink r:id="rId674" w:history="1">
        <w:r w:rsidRPr="00874A27">
          <w:rPr>
            <w:rFonts w:ascii="Arial" w:eastAsia="Times New Roman" w:hAnsi="Arial" w:cs="Arial"/>
            <w:color w:val="336699"/>
            <w:sz w:val="19"/>
            <w:szCs w:val="19"/>
            <w:u w:val="single"/>
            <w:lang w:eastAsia="fr-FR"/>
          </w:rPr>
          <w:t>code des marchés publics</w:t>
        </w:r>
      </w:hyperlink>
      <w:r w:rsidRPr="00874A27">
        <w:rPr>
          <w:rFonts w:ascii="Arial" w:eastAsia="Times New Roman" w:hAnsi="Arial" w:cs="Arial"/>
          <w:color w:val="000000"/>
          <w:sz w:val="19"/>
          <w:szCs w:val="19"/>
          <w:lang w:eastAsia="fr-FR"/>
        </w:rPr>
        <w:t>, lui confier le soin de faire procéder en leur nom et pour leur compte :</w:t>
      </w:r>
      <w:r w:rsidRPr="00874A27">
        <w:rPr>
          <w:rFonts w:ascii="Arial" w:eastAsia="Times New Roman" w:hAnsi="Arial" w:cs="Arial"/>
          <w:color w:val="000000"/>
          <w:sz w:val="19"/>
          <w:szCs w:val="19"/>
          <w:lang w:eastAsia="fr-FR"/>
        </w:rPr>
        <w:br/>
        <w:t>« 1° Soit à la réalisation d'études, notamment d'études préalables nécessaires à une opération d'aménagement ;</w:t>
      </w:r>
      <w:r w:rsidRPr="00874A27">
        <w:rPr>
          <w:rFonts w:ascii="Arial" w:eastAsia="Times New Roman" w:hAnsi="Arial" w:cs="Arial"/>
          <w:color w:val="000000"/>
          <w:sz w:val="19"/>
          <w:szCs w:val="19"/>
          <w:lang w:eastAsia="fr-FR"/>
        </w:rPr>
        <w:br/>
        <w:t>« 2° Soit à la réalisation de travaux et à la construction d'ouvrages ou de bâtiments de toute nature, lorsque ces travaux ou constructions n'entrent pas dans le champ d'application de la </w:t>
      </w:r>
      <w:hyperlink r:id="rId675" w:history="1">
        <w:r w:rsidRPr="00874A27">
          <w:rPr>
            <w:rFonts w:ascii="Arial" w:eastAsia="Times New Roman" w:hAnsi="Arial" w:cs="Arial"/>
            <w:color w:val="336699"/>
            <w:sz w:val="19"/>
            <w:szCs w:val="19"/>
            <w:u w:val="single"/>
            <w:lang w:eastAsia="fr-FR"/>
          </w:rPr>
          <w:t>loi n° 85-704 du 12 juillet 1985 </w:t>
        </w:r>
      </w:hyperlink>
      <w:r w:rsidRPr="00874A27">
        <w:rPr>
          <w:rFonts w:ascii="Arial" w:eastAsia="Times New Roman" w:hAnsi="Arial" w:cs="Arial"/>
          <w:color w:val="000000"/>
          <w:sz w:val="19"/>
          <w:szCs w:val="19"/>
          <w:lang w:eastAsia="fr-FR"/>
        </w:rPr>
        <w:t>relative à la maîtrise d'ouvrage publique et à ses rapports avec la maîtrise d'œuvre privée ;</w:t>
      </w:r>
      <w:r w:rsidRPr="00874A27">
        <w:rPr>
          <w:rFonts w:ascii="Arial" w:eastAsia="Times New Roman" w:hAnsi="Arial" w:cs="Arial"/>
          <w:color w:val="000000"/>
          <w:sz w:val="19"/>
          <w:szCs w:val="19"/>
          <w:lang w:eastAsia="fr-FR"/>
        </w:rPr>
        <w:br/>
        <w:t>« 3° Soit à l'achat et à la revente de biens fonciers ou immobiliers dans le respect de la </w:t>
      </w:r>
      <w:hyperlink r:id="rId676" w:history="1">
        <w:r w:rsidRPr="00874A27">
          <w:rPr>
            <w:rFonts w:ascii="Arial" w:eastAsia="Times New Roman" w:hAnsi="Arial" w:cs="Arial"/>
            <w:color w:val="336699"/>
            <w:sz w:val="19"/>
            <w:szCs w:val="19"/>
            <w:u w:val="single"/>
            <w:lang w:eastAsia="fr-FR"/>
          </w:rPr>
          <w:t>loi n° 70-9 du 2 janvier 1970 </w:t>
        </w:r>
      </w:hyperlink>
      <w:r w:rsidRPr="00874A27">
        <w:rPr>
          <w:rFonts w:ascii="Arial" w:eastAsia="Times New Roman" w:hAnsi="Arial" w:cs="Arial"/>
          <w:color w:val="000000"/>
          <w:sz w:val="19"/>
          <w:szCs w:val="19"/>
          <w:lang w:eastAsia="fr-FR"/>
        </w:rPr>
        <w:t>réglementant les conditions d'exercice des activités relatives à certaines opérations portant sur les immeubles et les fonds de commerce.</w:t>
      </w:r>
      <w:r w:rsidRPr="00874A27">
        <w:rPr>
          <w:rFonts w:ascii="Arial" w:eastAsia="Times New Roman" w:hAnsi="Arial" w:cs="Arial"/>
          <w:color w:val="000000"/>
          <w:sz w:val="19"/>
          <w:szCs w:val="19"/>
          <w:lang w:eastAsia="fr-FR"/>
        </w:rPr>
        <w:br/>
        <w:t>« Le mandat fait l'objet d'une convention écrite entre le mandant et le mandataire, qui est soumis à l'obligation d'exécution personnelle du contrat de mandat.</w:t>
      </w:r>
      <w:r w:rsidRPr="00874A27">
        <w:rPr>
          <w:rFonts w:ascii="Arial" w:eastAsia="Times New Roman" w:hAnsi="Arial" w:cs="Arial"/>
          <w:color w:val="000000"/>
          <w:sz w:val="19"/>
          <w:szCs w:val="19"/>
          <w:lang w:eastAsia="fr-FR"/>
        </w:rPr>
        <w:br/>
        <w:t>« II. ― La convention de mandat détermine :</w:t>
      </w:r>
      <w:r w:rsidRPr="00874A27">
        <w:rPr>
          <w:rFonts w:ascii="Arial" w:eastAsia="Times New Roman" w:hAnsi="Arial" w:cs="Arial"/>
          <w:color w:val="000000"/>
          <w:sz w:val="19"/>
          <w:szCs w:val="19"/>
          <w:lang w:eastAsia="fr-FR"/>
        </w:rPr>
        <w:br/>
        <w:t>« 1° L'objet du contrat ;</w:t>
      </w:r>
      <w:r w:rsidRPr="00874A27">
        <w:rPr>
          <w:rFonts w:ascii="Arial" w:eastAsia="Times New Roman" w:hAnsi="Arial" w:cs="Arial"/>
          <w:color w:val="000000"/>
          <w:sz w:val="19"/>
          <w:szCs w:val="19"/>
          <w:lang w:eastAsia="fr-FR"/>
        </w:rPr>
        <w:br/>
        <w:t>« 2° Les conditions techniques, administratives et financières de la réalisation des prestations ou travaux du mandataire ;</w:t>
      </w:r>
      <w:r w:rsidRPr="00874A27">
        <w:rPr>
          <w:rFonts w:ascii="Arial" w:eastAsia="Times New Roman" w:hAnsi="Arial" w:cs="Arial"/>
          <w:color w:val="000000"/>
          <w:sz w:val="19"/>
          <w:szCs w:val="19"/>
          <w:lang w:eastAsia="fr-FR"/>
        </w:rPr>
        <w:br/>
        <w:t>« 3° Les conditions dans lesquelles l'Etat, la collectivité territoriale ou leurs établissements publics exercent un contrôle des prestations d'études ou un contrôle technique des travaux ou assurent la direction technique des travaux et procèdent à la réception des ouvrages ou bâtiments ;</w:t>
      </w:r>
      <w:r w:rsidRPr="00874A27">
        <w:rPr>
          <w:rFonts w:ascii="Arial" w:eastAsia="Times New Roman" w:hAnsi="Arial" w:cs="Arial"/>
          <w:color w:val="000000"/>
          <w:sz w:val="19"/>
          <w:szCs w:val="19"/>
          <w:lang w:eastAsia="fr-FR"/>
        </w:rPr>
        <w:br/>
        <w:t>« 4° Le cas échéant, les conditions dans lesquelles l'Etat, la collectivité territoriale ou leurs établissements publics mettent à la disposition de la personne publique ou privée désignée par la convention de mandat les fonds nécessaires ou procèdent au remboursement des dépenses exposées par elle. Dans ce dernier cas, la convention de mandat précise, s'il y a lieu, les garanties exigées ;</w:t>
      </w:r>
      <w:r w:rsidRPr="00874A27">
        <w:rPr>
          <w:rFonts w:ascii="Arial" w:eastAsia="Times New Roman" w:hAnsi="Arial" w:cs="Arial"/>
          <w:color w:val="000000"/>
          <w:sz w:val="19"/>
          <w:szCs w:val="19"/>
          <w:lang w:eastAsia="fr-FR"/>
        </w:rPr>
        <w:br/>
        <w:t>« 5° Les conditions dans lesquelles la conclusion des marchés peut être confiée au mandataire. Le mandataire peut être chargé de procéder, au nom et pour le compte de la personne publique, aux paiements afférents aux marchés nécessaires à l'exécution du mandat. »</w:t>
      </w:r>
    </w:p>
    <w:p w:rsidR="00874A27" w:rsidRPr="00874A27" w:rsidRDefault="00874A27" w:rsidP="00874A27">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67" w:name="JORFARTI000028774807"/>
      <w:bookmarkEnd w:id="167"/>
      <w:r w:rsidRPr="00874A27">
        <w:rPr>
          <w:rFonts w:ascii="Arial" w:eastAsia="Times New Roman" w:hAnsi="Arial" w:cs="Arial"/>
          <w:b/>
          <w:bCs/>
          <w:color w:val="000000"/>
          <w:sz w:val="23"/>
          <w:szCs w:val="23"/>
          <w:lang w:eastAsia="fr-FR"/>
        </w:rPr>
        <w:t>Article 168 </w:t>
      </w:r>
      <w:hyperlink r:id="rId677" w:tooltip="En savoir plus sur l'article 168"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lastRenderedPageBreak/>
        <w:br/>
        <w:t>Le livre III du même code est complété par un titre V ainsi rédigé :</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TITRE V</w:t>
      </w: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p>
    <w:p w:rsidR="00874A27" w:rsidRPr="00874A27" w:rsidRDefault="00874A27" w:rsidP="00874A27">
      <w:pPr>
        <w:shd w:val="clear" w:color="auto" w:fill="FFFFFF"/>
        <w:spacing w:after="0"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PROJETS D'INTÉRÊT MAJEUR</w:t>
      </w:r>
    </w:p>
    <w:p w:rsidR="00874A27" w:rsidRPr="00874A27" w:rsidRDefault="00874A27" w:rsidP="00874A27">
      <w:pPr>
        <w:shd w:val="clear" w:color="auto" w:fill="FFFFFF"/>
        <w:spacing w:line="240" w:lineRule="auto"/>
        <w:ind w:left="54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 Art. L. 350-1. - L'autorité administrative, d'une part, et les communes et les établissements publics de coopération intercommunale à fiscalité propre pour les objets relevant des compétences qui leur ont été transférées, d'autre part, peuvent passer un contrat pour la réalisation d'un projet d'intérêt majeur qui comporte la réalisation d'actions ou d'opérations d'aménagement et, le cas échéant, de projets d'infrastructure.</w:t>
      </w:r>
      <w:r w:rsidRPr="00874A27">
        <w:rPr>
          <w:rFonts w:ascii="Arial" w:eastAsia="Times New Roman" w:hAnsi="Arial" w:cs="Arial"/>
          <w:color w:val="000000"/>
          <w:sz w:val="19"/>
          <w:szCs w:val="19"/>
          <w:lang w:eastAsia="fr-FR"/>
        </w:rPr>
        <w:br/>
        <w:t>« La région et les départements territorialement intéressés peuvent également, à leur demande, être signataires du contrat.</w:t>
      </w:r>
      <w:r w:rsidRPr="00874A27">
        <w:rPr>
          <w:rFonts w:ascii="Arial" w:eastAsia="Times New Roman" w:hAnsi="Arial" w:cs="Arial"/>
          <w:color w:val="000000"/>
          <w:sz w:val="19"/>
          <w:szCs w:val="19"/>
          <w:lang w:eastAsia="fr-FR"/>
        </w:rPr>
        <w:br/>
        <w:t>« A la demande de l'une des personnes publiques mentionnées aux deux premiers alinéas, les contrats peuvent être signés par tout établissement public de l'Etat et toute société publique locale susceptible de prendre part à la réalisation du projet d'intérêt majeur.</w:t>
      </w:r>
      <w:r w:rsidRPr="00874A27">
        <w:rPr>
          <w:rFonts w:ascii="Arial" w:eastAsia="Times New Roman" w:hAnsi="Arial" w:cs="Arial"/>
          <w:color w:val="000000"/>
          <w:sz w:val="19"/>
          <w:szCs w:val="19"/>
          <w:lang w:eastAsia="fr-FR"/>
        </w:rPr>
        <w:br/>
        <w:t>« Art. L. 350-2. - Avant la signature du contrat, le projet d'intérêt majeur est soumis pour avis au président du conseil régional, au président du conseil général et aux présidents des établissements publics de coopération intercommunale compétents en matière de programme local de l'habitat ou en matière de plan local d'urbanisme.</w:t>
      </w:r>
      <w:r w:rsidRPr="00874A27">
        <w:rPr>
          <w:rFonts w:ascii="Arial" w:eastAsia="Times New Roman" w:hAnsi="Arial" w:cs="Arial"/>
          <w:color w:val="000000"/>
          <w:sz w:val="19"/>
          <w:szCs w:val="19"/>
          <w:lang w:eastAsia="fr-FR"/>
        </w:rPr>
        <w:br/>
        <w:t>« Peut être également recueilli l'avis de tout organisme ou association ayant compétence en matière d'habitat, d'urbanisme, de déplacement, d'aménagement ou d'environnement.</w:t>
      </w:r>
      <w:r w:rsidRPr="00874A27">
        <w:rPr>
          <w:rFonts w:ascii="Arial" w:eastAsia="Times New Roman" w:hAnsi="Arial" w:cs="Arial"/>
          <w:color w:val="000000"/>
          <w:sz w:val="19"/>
          <w:szCs w:val="19"/>
          <w:lang w:eastAsia="fr-FR"/>
        </w:rPr>
        <w:br/>
        <w:t>« Le projet fait l'objet d'une enquête publique réalisée conformément au chapitre III du titre II du livre Ier du code de l'environnement.</w:t>
      </w:r>
      <w:r w:rsidRPr="00874A27">
        <w:rPr>
          <w:rFonts w:ascii="Arial" w:eastAsia="Times New Roman" w:hAnsi="Arial" w:cs="Arial"/>
          <w:color w:val="000000"/>
          <w:sz w:val="19"/>
          <w:szCs w:val="19"/>
          <w:lang w:eastAsia="fr-FR"/>
        </w:rPr>
        <w:br/>
        <w:t>« Art. L. 350-3. - Le contrat conclu en application de l'article L. 350-1 comprend :</w:t>
      </w:r>
      <w:r w:rsidRPr="00874A27">
        <w:rPr>
          <w:rFonts w:ascii="Arial" w:eastAsia="Times New Roman" w:hAnsi="Arial" w:cs="Arial"/>
          <w:color w:val="000000"/>
          <w:sz w:val="19"/>
          <w:szCs w:val="19"/>
          <w:lang w:eastAsia="fr-FR"/>
        </w:rPr>
        <w:br/>
        <w:t>« 1° Une présentation du projet d'intérêt majeur, de ses objectifs et de la manière dont il contribue au développement urbain durable du territoire dans lequel il s'insère ;</w:t>
      </w:r>
      <w:r w:rsidRPr="00874A27">
        <w:rPr>
          <w:rFonts w:ascii="Arial" w:eastAsia="Times New Roman" w:hAnsi="Arial" w:cs="Arial"/>
          <w:color w:val="000000"/>
          <w:sz w:val="19"/>
          <w:szCs w:val="19"/>
          <w:lang w:eastAsia="fr-FR"/>
        </w:rPr>
        <w:br/>
        <w:t>« 2° Le nombre de logements et le pourcentage de logements sociaux à réaliser dans le cadre du projet. Ces objectifs quantitatifs sont fixés après consultation du comité régional de l'habitat ;</w:t>
      </w:r>
      <w:r w:rsidRPr="00874A27">
        <w:rPr>
          <w:rFonts w:ascii="Arial" w:eastAsia="Times New Roman" w:hAnsi="Arial" w:cs="Arial"/>
          <w:color w:val="000000"/>
          <w:sz w:val="19"/>
          <w:szCs w:val="19"/>
          <w:lang w:eastAsia="fr-FR"/>
        </w:rPr>
        <w:br/>
        <w:t>« 3° La stratégie foncière à mettre en œuvre pour permettre la réalisation du projet ainsi que, le cas échéant, les modalités de mobilisation des terrains appartenant aux signataires du contrat et nécessaires pour la conduite du projet ;</w:t>
      </w:r>
      <w:r w:rsidRPr="00874A27">
        <w:rPr>
          <w:rFonts w:ascii="Arial" w:eastAsia="Times New Roman" w:hAnsi="Arial" w:cs="Arial"/>
          <w:color w:val="000000"/>
          <w:sz w:val="19"/>
          <w:szCs w:val="19"/>
          <w:lang w:eastAsia="fr-FR"/>
        </w:rPr>
        <w:br/>
        <w:t>« 4° La liste des actions et des opérations d'aménagement et, le cas échéant, des projets d'infrastructure mentionnés au premier alinéa de l'article L. 350-1 ainsi que les conditions de leur mise en œuvre et l'échéancier prévisionnel de leur réalisation ;</w:t>
      </w:r>
      <w:r w:rsidRPr="00874A27">
        <w:rPr>
          <w:rFonts w:ascii="Arial" w:eastAsia="Times New Roman" w:hAnsi="Arial" w:cs="Arial"/>
          <w:color w:val="000000"/>
          <w:sz w:val="19"/>
          <w:szCs w:val="19"/>
          <w:lang w:eastAsia="fr-FR"/>
        </w:rPr>
        <w:br/>
        <w:t>« 5° Les conditions générales de financement du projet.</w:t>
      </w:r>
      <w:r w:rsidRPr="00874A27">
        <w:rPr>
          <w:rFonts w:ascii="Arial" w:eastAsia="Times New Roman" w:hAnsi="Arial" w:cs="Arial"/>
          <w:color w:val="000000"/>
          <w:sz w:val="19"/>
          <w:szCs w:val="19"/>
          <w:lang w:eastAsia="fr-FR"/>
        </w:rPr>
        <w:br/>
        <w:t>« Art. L. 350-4. - Pour la mise en œuvre de la stratégie foncière prévue au 3° de l'article L. 350-3, le contrat peut prévoir la création de zones d'aménagement différé, dont il dresse la liste et fixe le périmètre. Il désigne les bénéficiaires des droits de préemption ainsi institués.</w:t>
      </w:r>
      <w:r w:rsidRPr="00874A27">
        <w:rPr>
          <w:rFonts w:ascii="Arial" w:eastAsia="Times New Roman" w:hAnsi="Arial" w:cs="Arial"/>
          <w:color w:val="000000"/>
          <w:sz w:val="19"/>
          <w:szCs w:val="19"/>
          <w:lang w:eastAsia="fr-FR"/>
        </w:rPr>
        <w:br/>
        <w:t>« La délibération du conseil municipal ou de l'organe délibérant de l'établissement public de coopération intercommunale à fiscalité propre qui autorise le maire ou le président de l'établissement public à signer le contrat emporte, pour l'application de l'article L. 212-1, avis favorable de la commune ou de l'établissement public de coopération intercommunale sur la création des zones d'aménagement différé prévues au contrat.</w:t>
      </w:r>
      <w:r w:rsidRPr="00874A27">
        <w:rPr>
          <w:rFonts w:ascii="Arial" w:eastAsia="Times New Roman" w:hAnsi="Arial" w:cs="Arial"/>
          <w:color w:val="000000"/>
          <w:sz w:val="19"/>
          <w:szCs w:val="19"/>
          <w:lang w:eastAsia="fr-FR"/>
        </w:rPr>
        <w:br/>
        <w:t>« Dans les zones d'aménagement différé prévues au contrat, la commune est titulaire d'un droit de préemption à titre subsidiaire lorsqu'elle n'est pas bénéficiaire d'un droit de préemption à titre principal. Le bénéficiaire du droit de préemption à titre principal informe la collectivité territoriale et le propriétaire du bien de sa décision d'exercer ou non son droit de préemption dans le délai de deux mois suivant la déclaration préalable d'aliénation faite par le propriétaire dans les conditions prévues à l'article L. 213-2. Lorsque le bénéficiaire du droit de préemption à titre principal renonce à exercer ce droit, le délai fixé au même article L. 213-2, à l'expiration duquel le silence gardé vaut renonciation à l'exercice du droit de préemption, est porté à trois mois pour permettre au titulaire du droit de préemption à titre subsidiaire de faire usage de ce droit.</w:t>
      </w:r>
      <w:r w:rsidRPr="00874A27">
        <w:rPr>
          <w:rFonts w:ascii="Arial" w:eastAsia="Times New Roman" w:hAnsi="Arial" w:cs="Arial"/>
          <w:color w:val="000000"/>
          <w:sz w:val="19"/>
          <w:szCs w:val="19"/>
          <w:lang w:eastAsia="fr-FR"/>
        </w:rPr>
        <w:br/>
        <w:t>« Art. L. 350-5. - Le contrat mentionné au présent titre peut valoir déclaration de projet des actions ou des opérations d'aménagement et des projets d'infrastructures mentionnés au 4° de l'article L. 350-3 pour l'application de l'article L. 300-6. Le contrat précise les actions, les opérations et les projets pour lesquels il vaut déclaration de l'intérêt général.</w:t>
      </w:r>
      <w:r w:rsidRPr="00874A27">
        <w:rPr>
          <w:rFonts w:ascii="Arial" w:eastAsia="Times New Roman" w:hAnsi="Arial" w:cs="Arial"/>
          <w:color w:val="000000"/>
          <w:sz w:val="19"/>
          <w:szCs w:val="19"/>
          <w:lang w:eastAsia="fr-FR"/>
        </w:rPr>
        <w:br/>
        <w:t>« Ces actions ou ces opérations d'aménagement ou ces projets d'infrastructures sont compatibles, s'il y a lieu, avec le schéma directeur de la région d'Ile-de-France, les schémas d'aménagement régional des régions d'outre-mer ou le plan d'aménagement et de développement durable de Corse.</w:t>
      </w:r>
      <w:r w:rsidRPr="00874A27">
        <w:rPr>
          <w:rFonts w:ascii="Arial" w:eastAsia="Times New Roman" w:hAnsi="Arial" w:cs="Arial"/>
          <w:color w:val="000000"/>
          <w:sz w:val="19"/>
          <w:szCs w:val="19"/>
          <w:lang w:eastAsia="fr-FR"/>
        </w:rPr>
        <w:br/>
        <w:t xml:space="preserve">« Si ces actions, ces opérations d'aménagement ou ces projets d'infrastructure ne sont pas compatibles avec les schémas de cohérence territoriale, les schémas de secteurs et les plans locaux </w:t>
      </w:r>
      <w:r w:rsidRPr="00874A27">
        <w:rPr>
          <w:rFonts w:ascii="Arial" w:eastAsia="Times New Roman" w:hAnsi="Arial" w:cs="Arial"/>
          <w:color w:val="000000"/>
          <w:sz w:val="19"/>
          <w:szCs w:val="19"/>
          <w:lang w:eastAsia="fr-FR"/>
        </w:rPr>
        <w:lastRenderedPageBreak/>
        <w:t>d'urbanisme, l'autorité administrative engage les procédures de mise en compatibilité prévues aux articles L. 122-15 et L. 123-16. L'enquête publique mentionnée à l'article L. 350-2 est organisée dans les conditions prévues à ces mêmes articles.</w:t>
      </w:r>
      <w:r w:rsidRPr="00874A27">
        <w:rPr>
          <w:rFonts w:ascii="Arial" w:eastAsia="Times New Roman" w:hAnsi="Arial" w:cs="Arial"/>
          <w:color w:val="000000"/>
          <w:sz w:val="19"/>
          <w:szCs w:val="19"/>
          <w:lang w:eastAsia="fr-FR"/>
        </w:rPr>
        <w:br/>
        <w:t>« Art. L. 350-6. - Lorsque le contrat mentionné au présent titre le prévoit, un établissement public de l'Etat, signataire du contrat, peut réaliser certaines actions ou opérations d'aménagement ou certains projets d'infrastructure prévus au contrat en application du 4° de l'article L. 350-3.</w:t>
      </w:r>
      <w:r w:rsidRPr="00874A27">
        <w:rPr>
          <w:rFonts w:ascii="Arial" w:eastAsia="Times New Roman" w:hAnsi="Arial" w:cs="Arial"/>
          <w:color w:val="000000"/>
          <w:sz w:val="19"/>
          <w:szCs w:val="19"/>
          <w:lang w:eastAsia="fr-FR"/>
        </w:rPr>
        <w:br/>
        <w:t>« Lorsque le contrat mentionné au présent titre le prévoit, une société publique locale mentionnée aux articles L. 327-1 du présent code ou L. 1531-1 du </w:t>
      </w:r>
      <w:hyperlink r:id="rId678" w:history="1">
        <w:r w:rsidRPr="00874A27">
          <w:rPr>
            <w:rFonts w:ascii="Arial" w:eastAsia="Times New Roman" w:hAnsi="Arial" w:cs="Arial"/>
            <w:color w:val="336699"/>
            <w:sz w:val="19"/>
            <w:szCs w:val="19"/>
            <w:u w:val="single"/>
            <w:lang w:eastAsia="fr-FR"/>
          </w:rPr>
          <w:t>code général des collectivités territoriales</w:t>
        </w:r>
      </w:hyperlink>
      <w:r w:rsidRPr="00874A27">
        <w:rPr>
          <w:rFonts w:ascii="Arial" w:eastAsia="Times New Roman" w:hAnsi="Arial" w:cs="Arial"/>
          <w:color w:val="000000"/>
          <w:sz w:val="19"/>
          <w:szCs w:val="19"/>
          <w:lang w:eastAsia="fr-FR"/>
        </w:rPr>
        <w:t>, signataire du contrat, peut réaliser certaines actions ou opérations d'aménagement ou certains projets d'infrastructure prévus au contrat, en application du 4° de l'article L. 350-3 du présent code. Elle agit dans les strictes conditions définies par les dispositions qui la régissent.</w:t>
      </w:r>
      <w:r w:rsidRPr="00874A27">
        <w:rPr>
          <w:rFonts w:ascii="Arial" w:eastAsia="Times New Roman" w:hAnsi="Arial" w:cs="Arial"/>
          <w:color w:val="000000"/>
          <w:sz w:val="19"/>
          <w:szCs w:val="19"/>
          <w:lang w:eastAsia="fr-FR"/>
        </w:rPr>
        <w:br/>
        <w:t>« Art. L. 350-7. - Les règles de publicité et de communication définies aux articles </w:t>
      </w:r>
      <w:hyperlink r:id="rId679" w:history="1">
        <w:r w:rsidRPr="00874A27">
          <w:rPr>
            <w:rFonts w:ascii="Arial" w:eastAsia="Times New Roman" w:hAnsi="Arial" w:cs="Arial"/>
            <w:color w:val="336699"/>
            <w:sz w:val="19"/>
            <w:szCs w:val="19"/>
            <w:u w:val="single"/>
            <w:lang w:eastAsia="fr-FR"/>
          </w:rPr>
          <w:t>L. 2121-24</w:t>
        </w:r>
      </w:hyperlink>
      <w:r w:rsidRPr="00874A27">
        <w:rPr>
          <w:rFonts w:ascii="Arial" w:eastAsia="Times New Roman" w:hAnsi="Arial" w:cs="Arial"/>
          <w:color w:val="000000"/>
          <w:sz w:val="19"/>
          <w:szCs w:val="19"/>
          <w:lang w:eastAsia="fr-FR"/>
        </w:rPr>
        <w:t> et </w:t>
      </w:r>
      <w:hyperlink r:id="rId680" w:history="1">
        <w:r w:rsidRPr="00874A27">
          <w:rPr>
            <w:rFonts w:ascii="Arial" w:eastAsia="Times New Roman" w:hAnsi="Arial" w:cs="Arial"/>
            <w:color w:val="336699"/>
            <w:sz w:val="19"/>
            <w:szCs w:val="19"/>
            <w:u w:val="single"/>
            <w:lang w:eastAsia="fr-FR"/>
          </w:rPr>
          <w:t>L. 2121-26</w:t>
        </w:r>
      </w:hyperlink>
      <w:r w:rsidRPr="00874A27">
        <w:rPr>
          <w:rFonts w:ascii="Arial" w:eastAsia="Times New Roman" w:hAnsi="Arial" w:cs="Arial"/>
          <w:color w:val="000000"/>
          <w:sz w:val="19"/>
          <w:szCs w:val="19"/>
          <w:lang w:eastAsia="fr-FR"/>
        </w:rPr>
        <w:t> du code général des collectivités territoriales sont applicables aux contrats prévus au présent titre. »</w:t>
      </w:r>
    </w:p>
    <w:p w:rsidR="00874A27" w:rsidRPr="00874A27" w:rsidRDefault="00874A27" w:rsidP="00874A27">
      <w:pPr>
        <w:numPr>
          <w:ilvl w:val="1"/>
          <w:numId w:val="4"/>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V : Participation du public</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68" w:name="JORFARTI000028773217"/>
      <w:bookmarkEnd w:id="168"/>
      <w:r w:rsidRPr="00874A27">
        <w:rPr>
          <w:rFonts w:ascii="Arial" w:eastAsia="Times New Roman" w:hAnsi="Arial" w:cs="Arial"/>
          <w:b/>
          <w:bCs/>
          <w:color w:val="000000"/>
          <w:sz w:val="23"/>
          <w:szCs w:val="23"/>
          <w:lang w:eastAsia="fr-FR"/>
        </w:rPr>
        <w:t>Article 169 </w:t>
      </w:r>
      <w:hyperlink r:id="rId681" w:tooltip="En savoir plus sur l'article 169"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Après l'article L. 111-1-5 du code de l'urbanisme, il est inséré un article L. 111-1-6 ainsi rédigé :</w:t>
      </w:r>
      <w:r w:rsidRPr="00874A27">
        <w:rPr>
          <w:rFonts w:ascii="Arial" w:eastAsia="Times New Roman" w:hAnsi="Arial" w:cs="Arial"/>
          <w:color w:val="000000"/>
          <w:sz w:val="19"/>
          <w:szCs w:val="19"/>
          <w:lang w:eastAsia="fr-FR"/>
        </w:rPr>
        <w:br/>
        <w:t>« Art. L. 111-1-6. - Sur un territoire non couvert par un plan local d'urbanisme ou un document d'urbanisme en tenant lieu, le conseil municipal peut, par délibération prise après une enquête publique réalisée conformément au chapitre III du titre II du livre Ier du code de l'environnement, identifier et localiser un ou plusieurs éléments présentant un intérêt patrimonial, paysager ou écologique et définir, si nécessaire, les prescriptions de nature à assurer leur protection. »</w:t>
      </w:r>
      <w:r w:rsidRPr="00874A27">
        <w:rPr>
          <w:rFonts w:ascii="Arial" w:eastAsia="Times New Roman" w:hAnsi="Arial" w:cs="Arial"/>
          <w:color w:val="000000"/>
          <w:sz w:val="19"/>
          <w:szCs w:val="19"/>
          <w:lang w:eastAsia="fr-FR"/>
        </w:rPr>
        <w:br/>
        <w:t>II. ― L'article L. 113-3 du même code est ainsi rédigé :</w:t>
      </w:r>
      <w:r w:rsidRPr="00874A27">
        <w:rPr>
          <w:rFonts w:ascii="Arial" w:eastAsia="Times New Roman" w:hAnsi="Arial" w:cs="Arial"/>
          <w:color w:val="000000"/>
          <w:sz w:val="19"/>
          <w:szCs w:val="19"/>
          <w:lang w:eastAsia="fr-FR"/>
        </w:rPr>
        <w:br/>
        <w:t>« Art. L. 113-3. - Le projet de directive territoriale d'aménagement et de développement durables fait l'objet d'une évaluation environnementale réalisée dans les conditions prévues à la section 2 du chapitre Ier du titre II du présent livre.</w:t>
      </w:r>
      <w:r w:rsidRPr="00874A27">
        <w:rPr>
          <w:rFonts w:ascii="Arial" w:eastAsia="Times New Roman" w:hAnsi="Arial" w:cs="Arial"/>
          <w:color w:val="000000"/>
          <w:sz w:val="19"/>
          <w:szCs w:val="19"/>
          <w:lang w:eastAsia="fr-FR"/>
        </w:rPr>
        <w:br/>
        <w:t>« Le projet de directive territoriale d'aménagement et de développement durables et les avis émis par les personnes associées mentionnées à l'article L. 113-2 sont mis à disposition du public pendant un mois, dans des conditions lui permettant de formuler ses observations. Ces observations sont enregistrées et conservées. Les modalités de la mise à disposition sont précisées par l'autorité administrative et portées à la connaissance du public au moins huit jours avant le début de cette mise à disposition.</w:t>
      </w:r>
      <w:r w:rsidRPr="00874A27">
        <w:rPr>
          <w:rFonts w:ascii="Arial" w:eastAsia="Times New Roman" w:hAnsi="Arial" w:cs="Arial"/>
          <w:color w:val="000000"/>
          <w:sz w:val="19"/>
          <w:szCs w:val="19"/>
          <w:lang w:eastAsia="fr-FR"/>
        </w:rPr>
        <w:br/>
        <w:t>« A l'issue de la mise à disposition, l'autorité administrative en établit le bilan. La directive territoriale d'aménagement et de développement durables est approuvée par décret en Conseil d'Etat. Le bilan de la mise à disposition du public du projet est rendu public au plus tard à la date de publication du décret approuvant la directive territoriale d'aménagement et de développement durables. »</w:t>
      </w:r>
      <w:r w:rsidRPr="00874A27">
        <w:rPr>
          <w:rFonts w:ascii="Arial" w:eastAsia="Times New Roman" w:hAnsi="Arial" w:cs="Arial"/>
          <w:color w:val="000000"/>
          <w:sz w:val="19"/>
          <w:szCs w:val="19"/>
          <w:lang w:eastAsia="fr-FR"/>
        </w:rPr>
        <w:br/>
        <w:t>III. ― L'article L. 113-5 du même code est complété par deux alinéas ainsi rédigés :</w:t>
      </w:r>
      <w:r w:rsidRPr="00874A27">
        <w:rPr>
          <w:rFonts w:ascii="Arial" w:eastAsia="Times New Roman" w:hAnsi="Arial" w:cs="Arial"/>
          <w:color w:val="000000"/>
          <w:sz w:val="19"/>
          <w:szCs w:val="19"/>
          <w:lang w:eastAsia="fr-FR"/>
        </w:rPr>
        <w:br/>
        <w:t>« Le projet de modification et, le cas échéant, les avis émis par les personnes associées mentionnées à l'article L. 113-2 sont mis à disposition du public pendant un mois, dans des conditions lui permettant de formuler ses observations. Ces observations sont enregistrées et conservées. Les modalités de la mise à disposition sont précisées par l'autorité administrative et portées à la connaissance du public au moins huit jours avant le début de cette mise à disposition.</w:t>
      </w:r>
      <w:r w:rsidRPr="00874A27">
        <w:rPr>
          <w:rFonts w:ascii="Arial" w:eastAsia="Times New Roman" w:hAnsi="Arial" w:cs="Arial"/>
          <w:color w:val="000000"/>
          <w:sz w:val="19"/>
          <w:szCs w:val="19"/>
          <w:lang w:eastAsia="fr-FR"/>
        </w:rPr>
        <w:br/>
        <w:t>« A l'issue de la mise à disposition, l'autorité administrative en établit le bilan. Le bilan de la mise à disposition du public du projet est rendu public au plus tard à la date de publication du décret portant modification de la directive territoriale d'aménagement et de développement durables. »</w:t>
      </w:r>
      <w:r w:rsidRPr="00874A27">
        <w:rPr>
          <w:rFonts w:ascii="Arial" w:eastAsia="Times New Roman" w:hAnsi="Arial" w:cs="Arial"/>
          <w:color w:val="000000"/>
          <w:sz w:val="19"/>
          <w:szCs w:val="19"/>
          <w:lang w:eastAsia="fr-FR"/>
        </w:rPr>
        <w:br/>
        <w:t>IV. ― L'article L. 113-6 du même code est complété par deux alinéas ainsi rédigés :</w:t>
      </w:r>
      <w:r w:rsidRPr="00874A27">
        <w:rPr>
          <w:rFonts w:ascii="Arial" w:eastAsia="Times New Roman" w:hAnsi="Arial" w:cs="Arial"/>
          <w:color w:val="000000"/>
          <w:sz w:val="19"/>
          <w:szCs w:val="19"/>
          <w:lang w:eastAsia="fr-FR"/>
        </w:rPr>
        <w:br/>
        <w:t>« Le projet de révision et, le cas échéant, les avis émis par les personnes associées mentionnées à l'article L. 113-2 sont mis à disposition du public pendant un mois, dans des conditions lui permettant de formuler ses observations. Ces observations sont enregistrées et conservées. Les modalités de la mise à disposition sont précisées par l'autorité administrative et portées à la connaissance du public au moins huit jours avant le début de cette mise à disposition.</w:t>
      </w:r>
      <w:r w:rsidRPr="00874A27">
        <w:rPr>
          <w:rFonts w:ascii="Arial" w:eastAsia="Times New Roman" w:hAnsi="Arial" w:cs="Arial"/>
          <w:color w:val="000000"/>
          <w:sz w:val="19"/>
          <w:szCs w:val="19"/>
          <w:lang w:eastAsia="fr-FR"/>
        </w:rPr>
        <w:br/>
        <w:t>« A l'issue de la mise à disposition, l'autorité administrative en établit le bilan. Le bilan de la mise à disposition du public est rendu public au plus tard à la date de publication du décret approuvant la révision de la directive territoriale d'aménagement et de développement durables. »</w:t>
      </w:r>
      <w:r w:rsidRPr="00874A27">
        <w:rPr>
          <w:rFonts w:ascii="Arial" w:eastAsia="Times New Roman" w:hAnsi="Arial" w:cs="Arial"/>
          <w:color w:val="000000"/>
          <w:sz w:val="19"/>
          <w:szCs w:val="19"/>
          <w:lang w:eastAsia="fr-FR"/>
        </w:rPr>
        <w:br/>
        <w:t>V. ― La seconde phrase du premier alinéa de l'article L. 145-11 du même code est remplacée par deux alinéas ainsi rédigés :</w:t>
      </w:r>
      <w:r w:rsidRPr="00874A27">
        <w:rPr>
          <w:rFonts w:ascii="Arial" w:eastAsia="Times New Roman" w:hAnsi="Arial" w:cs="Arial"/>
          <w:color w:val="000000"/>
          <w:sz w:val="19"/>
          <w:szCs w:val="19"/>
          <w:lang w:eastAsia="fr-FR"/>
        </w:rPr>
        <w:br/>
        <w:t xml:space="preserve">« Le projet est préalablement mis à la disposition du public pendant un mois, dans des conditions lui permettant de formuler ses observations. Ces observations sont enregistrées et conservées. La nature </w:t>
      </w:r>
      <w:r w:rsidRPr="00874A27">
        <w:rPr>
          <w:rFonts w:ascii="Arial" w:eastAsia="Times New Roman" w:hAnsi="Arial" w:cs="Arial"/>
          <w:color w:val="000000"/>
          <w:sz w:val="19"/>
          <w:szCs w:val="19"/>
          <w:lang w:eastAsia="fr-FR"/>
        </w:rPr>
        <w:lastRenderedPageBreak/>
        <w:t>des documents communiqués au public et les modalités de leur mise à disposition sont précisées par l'autorité administrative compétente pour statuer et portées à la connaissance du public au moins huit jours avant le début de cette mise à disposition.</w:t>
      </w:r>
      <w:r w:rsidRPr="00874A27">
        <w:rPr>
          <w:rFonts w:ascii="Arial" w:eastAsia="Times New Roman" w:hAnsi="Arial" w:cs="Arial"/>
          <w:color w:val="000000"/>
          <w:sz w:val="19"/>
          <w:szCs w:val="19"/>
          <w:lang w:eastAsia="fr-FR"/>
        </w:rPr>
        <w:br/>
        <w:t>« A l'issue de la mise à disposition et avant de prendre sa décision, l'autorité administrative en établit le bilan. »</w:t>
      </w:r>
      <w:r w:rsidRPr="00874A27">
        <w:rPr>
          <w:rFonts w:ascii="Arial" w:eastAsia="Times New Roman" w:hAnsi="Arial" w:cs="Arial"/>
          <w:color w:val="000000"/>
          <w:sz w:val="19"/>
          <w:szCs w:val="19"/>
          <w:lang w:eastAsia="fr-FR"/>
        </w:rPr>
        <w:br/>
        <w:t>VI. ― La seconde phrase du deuxième alinéa de l'article L. 146-6 du même code est remplacée par deux alinéas ainsi rédigés :</w:t>
      </w:r>
      <w:r w:rsidRPr="00874A27">
        <w:rPr>
          <w:rFonts w:ascii="Arial" w:eastAsia="Times New Roman" w:hAnsi="Arial" w:cs="Arial"/>
          <w:color w:val="000000"/>
          <w:sz w:val="19"/>
          <w:szCs w:val="19"/>
          <w:lang w:eastAsia="fr-FR"/>
        </w:rPr>
        <w:br/>
        <w:t>« Un décret définit la nature et les modalités de réalisation de ces aménagements. Ces projets d'aménagement sont soumis, préalablement à leur autorisation, selon leur importance et leur incidence sur l'environnement, soit à l'enquête publique prévue au chapitre III du titre II du livre Ier du code de l'environnement lorsqu'ils entrent dans le champ d'application de cette enquête, soit à une mise à disposition du public pendant une durée d'au moins quinze jours, dans des conditions permettant à celui-ci de formuler ses observations. Ces observations sont enregistrées et conservées. La nature des documents communiqués au public et les modalités de leur mise à disposition sont précisées par l'autorité administrative compétente pour délivrer l'autorisation et portées à la connaissance du public au moins huit jours avant le début de cette mise à disposition.</w:t>
      </w:r>
      <w:r w:rsidRPr="00874A27">
        <w:rPr>
          <w:rFonts w:ascii="Arial" w:eastAsia="Times New Roman" w:hAnsi="Arial" w:cs="Arial"/>
          <w:color w:val="000000"/>
          <w:sz w:val="19"/>
          <w:szCs w:val="19"/>
          <w:lang w:eastAsia="fr-FR"/>
        </w:rPr>
        <w:br/>
        <w:t>« A l'issue de la mise à disposition et avant de prendre sa décision, l'autorité administrative en établit le bilan. »</w:t>
      </w:r>
      <w:r w:rsidRPr="00874A27">
        <w:rPr>
          <w:rFonts w:ascii="Arial" w:eastAsia="Times New Roman" w:hAnsi="Arial" w:cs="Arial"/>
          <w:color w:val="000000"/>
          <w:sz w:val="19"/>
          <w:szCs w:val="19"/>
          <w:lang w:eastAsia="fr-FR"/>
        </w:rPr>
        <w:br/>
        <w:t>VII. ― Le V s'applique aux demandes d'autorisation déposées à compter du 1er juillet 2014.</w:t>
      </w:r>
      <w:r w:rsidRPr="00874A27">
        <w:rPr>
          <w:rFonts w:ascii="Arial" w:eastAsia="Times New Roman" w:hAnsi="Arial" w:cs="Arial"/>
          <w:color w:val="000000"/>
          <w:sz w:val="19"/>
          <w:szCs w:val="19"/>
          <w:lang w:eastAsia="fr-FR"/>
        </w:rPr>
        <w:br/>
        <w:t>Le VI s'applique aux demandes de permis de construire ou de permis d'aménager déposées à compter du 1er juillet 2014.</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69" w:name="JORFARTI000028773231"/>
      <w:bookmarkEnd w:id="169"/>
      <w:r w:rsidRPr="00874A27">
        <w:rPr>
          <w:rFonts w:ascii="Arial" w:eastAsia="Times New Roman" w:hAnsi="Arial" w:cs="Arial"/>
          <w:b/>
          <w:bCs/>
          <w:color w:val="000000"/>
          <w:sz w:val="23"/>
          <w:szCs w:val="23"/>
          <w:lang w:eastAsia="fr-FR"/>
        </w:rPr>
        <w:t>Article 170 </w:t>
      </w:r>
      <w:hyperlink r:id="rId682" w:tooltip="En savoir plus sur l'article 170"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L'article L. 300-2 du code de l'urbanisme est ainsi modifié :</w:t>
      </w:r>
      <w:r w:rsidRPr="00874A27">
        <w:rPr>
          <w:rFonts w:ascii="Arial" w:eastAsia="Times New Roman" w:hAnsi="Arial" w:cs="Arial"/>
          <w:color w:val="000000"/>
          <w:sz w:val="19"/>
          <w:szCs w:val="19"/>
          <w:lang w:eastAsia="fr-FR"/>
        </w:rPr>
        <w:br/>
        <w:t>1° Le 3° du I est ainsi rédigé :</w:t>
      </w:r>
      <w:r w:rsidRPr="00874A27">
        <w:rPr>
          <w:rFonts w:ascii="Arial" w:eastAsia="Times New Roman" w:hAnsi="Arial" w:cs="Arial"/>
          <w:color w:val="000000"/>
          <w:sz w:val="19"/>
          <w:szCs w:val="19"/>
          <w:lang w:eastAsia="fr-FR"/>
        </w:rPr>
        <w:br/>
        <w:t>« 3° Les projets et opérations d'aménagement ou de construction ayant pour effet de modifier de façon substantielle le cadre de vie, notamment ceux susceptibles d'affecter l'environnement, au sens de l'</w:t>
      </w:r>
      <w:hyperlink r:id="rId683" w:history="1">
        <w:r w:rsidRPr="00874A27">
          <w:rPr>
            <w:rFonts w:ascii="Arial" w:eastAsia="Times New Roman" w:hAnsi="Arial" w:cs="Arial"/>
            <w:color w:val="336699"/>
            <w:sz w:val="19"/>
            <w:szCs w:val="19"/>
            <w:u w:val="single"/>
            <w:lang w:eastAsia="fr-FR"/>
          </w:rPr>
          <w:t>article L. 122-1 du code de l'environnement</w:t>
        </w:r>
      </w:hyperlink>
      <w:r w:rsidRPr="00874A27">
        <w:rPr>
          <w:rFonts w:ascii="Arial" w:eastAsia="Times New Roman" w:hAnsi="Arial" w:cs="Arial"/>
          <w:color w:val="000000"/>
          <w:sz w:val="19"/>
          <w:szCs w:val="19"/>
          <w:lang w:eastAsia="fr-FR"/>
        </w:rPr>
        <w:t>, ou l'activité économique, dont la liste est arrêtée par décret en Conseil d'Etat. » ;</w:t>
      </w:r>
      <w:r w:rsidRPr="00874A27">
        <w:rPr>
          <w:rFonts w:ascii="Arial" w:eastAsia="Times New Roman" w:hAnsi="Arial" w:cs="Arial"/>
          <w:color w:val="000000"/>
          <w:sz w:val="19"/>
          <w:szCs w:val="19"/>
          <w:lang w:eastAsia="fr-FR"/>
        </w:rPr>
        <w:br/>
        <w:t>2° Le II est ainsi modifié :</w:t>
      </w:r>
      <w:r w:rsidRPr="00874A27">
        <w:rPr>
          <w:rFonts w:ascii="Arial" w:eastAsia="Times New Roman" w:hAnsi="Arial" w:cs="Arial"/>
          <w:color w:val="000000"/>
          <w:sz w:val="19"/>
          <w:szCs w:val="19"/>
          <w:lang w:eastAsia="fr-FR"/>
        </w:rPr>
        <w:br/>
        <w:t>a) Au premier alinéa et à la seconde phrase du dernier alinéa, le mot : « fixés » est remplacé par le mot : « précisés » ;</w:t>
      </w:r>
      <w:r w:rsidRPr="00874A27">
        <w:rPr>
          <w:rFonts w:ascii="Arial" w:eastAsia="Times New Roman" w:hAnsi="Arial" w:cs="Arial"/>
          <w:color w:val="000000"/>
          <w:sz w:val="19"/>
          <w:szCs w:val="19"/>
          <w:lang w:eastAsia="fr-FR"/>
        </w:rPr>
        <w:br/>
        <w:t>b) Au quatrième alinéa, le mot : « arrêtés » est remplacé par le mot : « précisés » ;</w:t>
      </w:r>
      <w:r w:rsidRPr="00874A27">
        <w:rPr>
          <w:rFonts w:ascii="Arial" w:eastAsia="Times New Roman" w:hAnsi="Arial" w:cs="Arial"/>
          <w:color w:val="000000"/>
          <w:sz w:val="19"/>
          <w:szCs w:val="19"/>
          <w:lang w:eastAsia="fr-FR"/>
        </w:rPr>
        <w:br/>
        <w:t>c) Le début de l'avant-dernier alinéa est ainsi rédigé : « Les modalités de la concertation permettent, pendant une durée suffisante et selon des moyens adaptés au regard de l'importance et des caractéristiques du projet, au public... (le reste sans changement). » ;</w:t>
      </w:r>
      <w:r w:rsidRPr="00874A27">
        <w:rPr>
          <w:rFonts w:ascii="Arial" w:eastAsia="Times New Roman" w:hAnsi="Arial" w:cs="Arial"/>
          <w:color w:val="000000"/>
          <w:sz w:val="19"/>
          <w:szCs w:val="19"/>
          <w:lang w:eastAsia="fr-FR"/>
        </w:rPr>
        <w:br/>
        <w:t>3° Après le III, il est inséré un III bis ainsi rédigé :</w:t>
      </w:r>
      <w:r w:rsidRPr="00874A27">
        <w:rPr>
          <w:rFonts w:ascii="Arial" w:eastAsia="Times New Roman" w:hAnsi="Arial" w:cs="Arial"/>
          <w:color w:val="000000"/>
          <w:sz w:val="19"/>
          <w:szCs w:val="19"/>
          <w:lang w:eastAsia="fr-FR"/>
        </w:rPr>
        <w:br/>
        <w:t>« III bis. ― Les projets de travaux ou d'aménagements soumis à permis de construire ou à permis d'aménager, autres que ceux mentionnés au 3° du I, situés sur un territoire couvert par un schéma de cohérence territoriale, par un plan local d'urbanisme ou par un document d'urbanisme en tenant lieu ou par une carte communale peuvent faire l'objet de la concertation prévue au même I. Celle-ci est réalisée préalablement au dépôt de la demande de permis, à l'initiative de l'autorité compétente pour statuer sur la demande de permis ou, avec l'accord de celle-ci, à l'initiative du maître d'ouvrage.</w:t>
      </w:r>
      <w:r w:rsidRPr="00874A27">
        <w:rPr>
          <w:rFonts w:ascii="Arial" w:eastAsia="Times New Roman" w:hAnsi="Arial" w:cs="Arial"/>
          <w:color w:val="000000"/>
          <w:sz w:val="19"/>
          <w:szCs w:val="19"/>
          <w:lang w:eastAsia="fr-FR"/>
        </w:rPr>
        <w:br/>
        <w:t>« Dans ce cas, le maître d'ouvrage transmet à l'autorité compétente pour statuer un dossier de présentation du projet comportant au moins une description de sa localisation dans l'environnement et sur le terrain concerné, sa destination, les caractéristiques des constructions ou aménagements envisagés, comprenant un avant-projet architectural dans le cas où le projet comporte des bâtiments, ainsi que la desserte du projet par les équipements publics et l'aménagement de ses abords.</w:t>
      </w:r>
      <w:r w:rsidRPr="00874A27">
        <w:rPr>
          <w:rFonts w:ascii="Arial" w:eastAsia="Times New Roman" w:hAnsi="Arial" w:cs="Arial"/>
          <w:color w:val="000000"/>
          <w:sz w:val="19"/>
          <w:szCs w:val="19"/>
          <w:lang w:eastAsia="fr-FR"/>
        </w:rPr>
        <w:br/>
        <w:t>« L'autorité compétente met ce dossier à la disposition du public dans des conditions lui permettant d'en prendre connaissance et de formuler des observations ou propositions. Celles-ci sont enregistrées et conservées. Le bilan de la concertation est joint à la demande de permis.</w:t>
      </w:r>
      <w:r w:rsidRPr="00874A27">
        <w:rPr>
          <w:rFonts w:ascii="Arial" w:eastAsia="Times New Roman" w:hAnsi="Arial" w:cs="Arial"/>
          <w:color w:val="000000"/>
          <w:sz w:val="19"/>
          <w:szCs w:val="19"/>
          <w:lang w:eastAsia="fr-FR"/>
        </w:rPr>
        <w:br/>
        <w:t>« Pour les projets devant faire l'objet d'une étude d'impact et pour lesquels la concertation préalable est réalisée, il n'y a pas lieu d'organiser l'enquête publique mentionnée à l'</w:t>
      </w:r>
      <w:hyperlink r:id="rId684" w:history="1">
        <w:r w:rsidRPr="00874A27">
          <w:rPr>
            <w:rFonts w:ascii="Arial" w:eastAsia="Times New Roman" w:hAnsi="Arial" w:cs="Arial"/>
            <w:color w:val="336699"/>
            <w:sz w:val="19"/>
            <w:szCs w:val="19"/>
            <w:u w:val="single"/>
            <w:lang w:eastAsia="fr-FR"/>
          </w:rPr>
          <w:t>article L. 123-1 du code de l'environnement</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La demande de permis de construire ou de permis d'aménager, l'étude d'impact et le bilan de la concertation font l'objet d'une mise à disposition du public selon les modalités prévues au II de l'article L. 120-1-1 du même code.</w:t>
      </w:r>
      <w:r w:rsidRPr="00874A27">
        <w:rPr>
          <w:rFonts w:ascii="Arial" w:eastAsia="Times New Roman" w:hAnsi="Arial" w:cs="Arial"/>
          <w:color w:val="000000"/>
          <w:sz w:val="19"/>
          <w:szCs w:val="19"/>
          <w:lang w:eastAsia="fr-FR"/>
        </w:rPr>
        <w:br/>
        <w:t>« L'autorité mentionnée aux 1° ou 2° du II du présent article peut prendre une décision ou une délibération définissant, parmi les projets de travaux ou d'aménagements mentionnés au présent III bis, ceux qui, compte tenu de leur importance, de leur impact potentiel sur l'aménagement de la commune ou de la sensibilité du lieu où ils seront implantés, sont soumis à cette concertation. »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4° La première phrase du IV est ainsi modifiée :</w:t>
      </w:r>
      <w:r w:rsidRPr="00874A27">
        <w:rPr>
          <w:rFonts w:ascii="Arial" w:eastAsia="Times New Roman" w:hAnsi="Arial" w:cs="Arial"/>
          <w:color w:val="000000"/>
          <w:sz w:val="19"/>
          <w:szCs w:val="19"/>
          <w:lang w:eastAsia="fr-FR"/>
        </w:rPr>
        <w:br/>
        <w:t>a) La référence : « et II » est remplacée par les références : « , II et III bis » ;</w:t>
      </w:r>
      <w:r w:rsidRPr="00874A27">
        <w:rPr>
          <w:rFonts w:ascii="Arial" w:eastAsia="Times New Roman" w:hAnsi="Arial" w:cs="Arial"/>
          <w:color w:val="000000"/>
          <w:sz w:val="19"/>
          <w:szCs w:val="19"/>
          <w:lang w:eastAsia="fr-FR"/>
        </w:rPr>
        <w:br/>
        <w:t>b) Après le mot : « définies », est insérée la référence : « au présent article et ».</w:t>
      </w:r>
    </w:p>
    <w:p w:rsidR="00874A27" w:rsidRPr="00874A27" w:rsidRDefault="00874A27" w:rsidP="00874A27">
      <w:pPr>
        <w:numPr>
          <w:ilvl w:val="1"/>
          <w:numId w:val="4"/>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874A27">
        <w:rPr>
          <w:rFonts w:ascii="Arial" w:eastAsia="Times New Roman" w:hAnsi="Arial" w:cs="Arial"/>
          <w:color w:val="000000"/>
          <w:sz w:val="29"/>
          <w:szCs w:val="29"/>
          <w:lang w:eastAsia="fr-FR"/>
        </w:rPr>
        <w:t>Chapitre VI : Dispositions diverses</w:t>
      </w:r>
    </w:p>
    <w:p w:rsidR="00874A27" w:rsidRPr="00874A27" w:rsidRDefault="00874A27" w:rsidP="00874A27">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70" w:name="JORFARTI000028773243"/>
      <w:bookmarkEnd w:id="170"/>
      <w:r w:rsidRPr="00874A27">
        <w:rPr>
          <w:rFonts w:ascii="Arial" w:eastAsia="Times New Roman" w:hAnsi="Arial" w:cs="Arial"/>
          <w:b/>
          <w:bCs/>
          <w:color w:val="000000"/>
          <w:sz w:val="23"/>
          <w:szCs w:val="23"/>
          <w:lang w:eastAsia="fr-FR"/>
        </w:rPr>
        <w:t>Article 171 </w:t>
      </w:r>
      <w:hyperlink r:id="rId685" w:tooltip="En savoir plus sur l'article 171"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Dans les conditions prévues à l'article 38 de la Constitution, le Gouvernement est autorisé à procéder, par voie d'ordonnance, à une nouvelle rédaction du livre Ier du code de l'urbanisme afin d'en clarifier la rédaction et le plan. Cette nouvelle codification est effectuée à droit constant après intégration des dispositions résultant de la présente loi et sous réserve des modifications qui seraient rendues nécessaires pour assurer le respect de la hiérarchie des normes et la cohérence rédactionnelle des textes, pour harmoniser l'état du droit et abroger les dispositions obsolètes ou devenues sans objet.</w:t>
      </w:r>
      <w:r w:rsidRPr="00874A27">
        <w:rPr>
          <w:rFonts w:ascii="Arial" w:eastAsia="Times New Roman" w:hAnsi="Arial" w:cs="Arial"/>
          <w:color w:val="000000"/>
          <w:sz w:val="19"/>
          <w:szCs w:val="19"/>
          <w:lang w:eastAsia="fr-FR"/>
        </w:rPr>
        <w:br/>
        <w:t>Cette ordonnance est prise dans un délai de dix-huit mois suivant la publication de la présente loi. Un projet de loi de ratification de cette ordonnance est déposé devant le Parlement dans un délai de trois mois à compter de sa publication.</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71" w:name="JORFARTI000028773245"/>
      <w:bookmarkEnd w:id="171"/>
      <w:r w:rsidRPr="00874A27">
        <w:rPr>
          <w:rFonts w:ascii="Arial" w:eastAsia="Times New Roman" w:hAnsi="Arial" w:cs="Arial"/>
          <w:b/>
          <w:bCs/>
          <w:color w:val="000000"/>
          <w:sz w:val="23"/>
          <w:szCs w:val="23"/>
          <w:lang w:eastAsia="fr-FR"/>
        </w:rPr>
        <w:t>Article 172 </w:t>
      </w:r>
      <w:hyperlink r:id="rId686" w:tooltip="En savoir plus sur l'article 172"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I. ― L'</w:t>
      </w:r>
      <w:hyperlink r:id="rId687" w:history="1">
        <w:r w:rsidRPr="00874A27">
          <w:rPr>
            <w:rFonts w:ascii="Arial" w:eastAsia="Times New Roman" w:hAnsi="Arial" w:cs="Arial"/>
            <w:color w:val="336699"/>
            <w:sz w:val="19"/>
            <w:szCs w:val="19"/>
            <w:u w:val="single"/>
            <w:lang w:eastAsia="fr-FR"/>
          </w:rPr>
          <w:t>ordonnance n° 2011-1068 du 8 septembre 2011</w:t>
        </w:r>
      </w:hyperlink>
      <w:r w:rsidRPr="00874A27">
        <w:rPr>
          <w:rFonts w:ascii="Arial" w:eastAsia="Times New Roman" w:hAnsi="Arial" w:cs="Arial"/>
          <w:color w:val="000000"/>
          <w:sz w:val="19"/>
          <w:szCs w:val="19"/>
          <w:lang w:eastAsia="fr-FR"/>
        </w:rPr>
        <w:t> relative aux établissements publics fonciers, aux établissements publics d'aménagement de l'Etat et à l'Agence foncière et technique de la région parisienne est ratifiée.</w:t>
      </w:r>
      <w:r w:rsidRPr="00874A27">
        <w:rPr>
          <w:rFonts w:ascii="Arial" w:eastAsia="Times New Roman" w:hAnsi="Arial" w:cs="Arial"/>
          <w:color w:val="000000"/>
          <w:sz w:val="19"/>
          <w:szCs w:val="19"/>
          <w:lang w:eastAsia="fr-FR"/>
        </w:rPr>
        <w:br/>
        <w:t>II. ― Le second alinéa de l'article L. 321-8 du code de l'urbanisme est complété par une phrase ainsi rédigée :</w:t>
      </w:r>
      <w:r w:rsidRPr="00874A27">
        <w:rPr>
          <w:rFonts w:ascii="Arial" w:eastAsia="Times New Roman" w:hAnsi="Arial" w:cs="Arial"/>
          <w:color w:val="000000"/>
          <w:sz w:val="19"/>
          <w:szCs w:val="19"/>
          <w:lang w:eastAsia="fr-FR"/>
        </w:rPr>
        <w:br/>
        <w:t>« Chaque chambre consulaire et le conseil économique, social et environnemental sont représentés au conseil d'administration avec voix consultative. »</w:t>
      </w:r>
      <w:r w:rsidRPr="00874A27">
        <w:rPr>
          <w:rFonts w:ascii="Arial" w:eastAsia="Times New Roman" w:hAnsi="Arial" w:cs="Arial"/>
          <w:color w:val="000000"/>
          <w:sz w:val="19"/>
          <w:szCs w:val="19"/>
          <w:lang w:eastAsia="fr-FR"/>
        </w:rPr>
        <w:br/>
        <w:t>III. ― Le I de l'article 2 de l'ordonnance n° 2011-1068 du 8 septembre 2011 précitée est ainsi modifié :</w:t>
      </w:r>
      <w:r w:rsidRPr="00874A27">
        <w:rPr>
          <w:rFonts w:ascii="Arial" w:eastAsia="Times New Roman" w:hAnsi="Arial" w:cs="Arial"/>
          <w:color w:val="000000"/>
          <w:sz w:val="19"/>
          <w:szCs w:val="19"/>
          <w:lang w:eastAsia="fr-FR"/>
        </w:rPr>
        <w:br/>
        <w:t>1° A la fin du deuxième alinéa, les mots : « dans les deux ans qui suivent la publication de cette ordonnance » sont remplacés par les mots : « au plus tard le 31 décembre 2014 » ;</w:t>
      </w:r>
      <w:r w:rsidRPr="00874A27">
        <w:rPr>
          <w:rFonts w:ascii="Arial" w:eastAsia="Times New Roman" w:hAnsi="Arial" w:cs="Arial"/>
          <w:color w:val="000000"/>
          <w:sz w:val="19"/>
          <w:szCs w:val="19"/>
          <w:lang w:eastAsia="fr-FR"/>
        </w:rPr>
        <w:br/>
        <w:t>2° A la fin du dernier alinéa, les mots : « dans un délai de deux ans à compter de la date de sa publication » sont remplacés par les mots et une phrase ainsi rédigée : « au plus tard le 31 décembre 2014. Ces dispositions ne s'appliquent pas aux établissements publics fonciers des Hauts-de-Seine, d'Ile-de-France, du Val-d'Oise et des Yvelines. »</w:t>
      </w:r>
      <w:r w:rsidRPr="00874A27">
        <w:rPr>
          <w:rFonts w:ascii="Arial" w:eastAsia="Times New Roman" w:hAnsi="Arial" w:cs="Arial"/>
          <w:color w:val="000000"/>
          <w:sz w:val="19"/>
          <w:szCs w:val="19"/>
          <w:lang w:eastAsia="fr-FR"/>
        </w:rPr>
        <w:br/>
        <w:t>IV. ― Sont ratifiées :</w:t>
      </w:r>
      <w:r w:rsidRPr="00874A27">
        <w:rPr>
          <w:rFonts w:ascii="Arial" w:eastAsia="Times New Roman" w:hAnsi="Arial" w:cs="Arial"/>
          <w:color w:val="000000"/>
          <w:sz w:val="19"/>
          <w:szCs w:val="19"/>
          <w:lang w:eastAsia="fr-FR"/>
        </w:rPr>
        <w:br/>
        <w:t>1° L'</w:t>
      </w:r>
      <w:hyperlink r:id="rId688" w:history="1">
        <w:r w:rsidRPr="00874A27">
          <w:rPr>
            <w:rFonts w:ascii="Arial" w:eastAsia="Times New Roman" w:hAnsi="Arial" w:cs="Arial"/>
            <w:color w:val="336699"/>
            <w:sz w:val="19"/>
            <w:szCs w:val="19"/>
            <w:u w:val="single"/>
            <w:lang w:eastAsia="fr-FR"/>
          </w:rPr>
          <w:t>ordonnance n° 2011-1539 du 16 novembre 2011</w:t>
        </w:r>
      </w:hyperlink>
      <w:r w:rsidRPr="00874A27">
        <w:rPr>
          <w:rFonts w:ascii="Arial" w:eastAsia="Times New Roman" w:hAnsi="Arial" w:cs="Arial"/>
          <w:color w:val="000000"/>
          <w:sz w:val="19"/>
          <w:szCs w:val="19"/>
          <w:lang w:eastAsia="fr-FR"/>
        </w:rPr>
        <w:t> relative à la définition des surfaces de plancher prises en compte dans le droit de l'urbanisme ;</w:t>
      </w:r>
      <w:r w:rsidRPr="00874A27">
        <w:rPr>
          <w:rFonts w:ascii="Arial" w:eastAsia="Times New Roman" w:hAnsi="Arial" w:cs="Arial"/>
          <w:color w:val="000000"/>
          <w:sz w:val="19"/>
          <w:szCs w:val="19"/>
          <w:lang w:eastAsia="fr-FR"/>
        </w:rPr>
        <w:br/>
        <w:t>2° L'</w:t>
      </w:r>
      <w:hyperlink r:id="rId689" w:history="1">
        <w:r w:rsidRPr="00874A27">
          <w:rPr>
            <w:rFonts w:ascii="Arial" w:eastAsia="Times New Roman" w:hAnsi="Arial" w:cs="Arial"/>
            <w:color w:val="336699"/>
            <w:sz w:val="19"/>
            <w:szCs w:val="19"/>
            <w:u w:val="single"/>
            <w:lang w:eastAsia="fr-FR"/>
          </w:rPr>
          <w:t>ordonnance n° 2011-1916 du 22 décembre 2011</w:t>
        </w:r>
      </w:hyperlink>
      <w:r w:rsidRPr="00874A27">
        <w:rPr>
          <w:rFonts w:ascii="Arial" w:eastAsia="Times New Roman" w:hAnsi="Arial" w:cs="Arial"/>
          <w:color w:val="000000"/>
          <w:sz w:val="19"/>
          <w:szCs w:val="19"/>
          <w:lang w:eastAsia="fr-FR"/>
        </w:rPr>
        <w:t> relative à certaines corrections à apporter au régime des autorisations d'urbanisme ;</w:t>
      </w:r>
      <w:r w:rsidRPr="00874A27">
        <w:rPr>
          <w:rFonts w:ascii="Arial" w:eastAsia="Times New Roman" w:hAnsi="Arial" w:cs="Arial"/>
          <w:color w:val="000000"/>
          <w:sz w:val="19"/>
          <w:szCs w:val="19"/>
          <w:lang w:eastAsia="fr-FR"/>
        </w:rPr>
        <w:br/>
        <w:t>3° L'</w:t>
      </w:r>
      <w:hyperlink r:id="rId690" w:history="1">
        <w:r w:rsidRPr="00874A27">
          <w:rPr>
            <w:rFonts w:ascii="Arial" w:eastAsia="Times New Roman" w:hAnsi="Arial" w:cs="Arial"/>
            <w:color w:val="336699"/>
            <w:sz w:val="19"/>
            <w:szCs w:val="19"/>
            <w:u w:val="single"/>
            <w:lang w:eastAsia="fr-FR"/>
          </w:rPr>
          <w:t>ordonnance n° 2012-11 du 5 janvier 2012</w:t>
        </w:r>
      </w:hyperlink>
      <w:r w:rsidRPr="00874A27">
        <w:rPr>
          <w:rFonts w:ascii="Arial" w:eastAsia="Times New Roman" w:hAnsi="Arial" w:cs="Arial"/>
          <w:color w:val="000000"/>
          <w:sz w:val="19"/>
          <w:szCs w:val="19"/>
          <w:lang w:eastAsia="fr-FR"/>
        </w:rPr>
        <w:t> portant clarification et simplification des procédures d'élaboration, de modification et de révision des documents d'urbanisme ;</w:t>
      </w:r>
      <w:r w:rsidRPr="00874A27">
        <w:rPr>
          <w:rFonts w:ascii="Arial" w:eastAsia="Times New Roman" w:hAnsi="Arial" w:cs="Arial"/>
          <w:color w:val="000000"/>
          <w:sz w:val="19"/>
          <w:szCs w:val="19"/>
          <w:lang w:eastAsia="fr-FR"/>
        </w:rPr>
        <w:br/>
        <w:t>4° L'</w:t>
      </w:r>
      <w:hyperlink r:id="rId691" w:history="1">
        <w:r w:rsidRPr="00874A27">
          <w:rPr>
            <w:rFonts w:ascii="Arial" w:eastAsia="Times New Roman" w:hAnsi="Arial" w:cs="Arial"/>
            <w:color w:val="336699"/>
            <w:sz w:val="19"/>
            <w:szCs w:val="19"/>
            <w:u w:val="single"/>
            <w:lang w:eastAsia="fr-FR"/>
          </w:rPr>
          <w:t>ordonnance n° 2013-638 du 18 juillet 2013</w:t>
        </w:r>
      </w:hyperlink>
      <w:r w:rsidRPr="00874A27">
        <w:rPr>
          <w:rFonts w:ascii="Arial" w:eastAsia="Times New Roman" w:hAnsi="Arial" w:cs="Arial"/>
          <w:color w:val="000000"/>
          <w:sz w:val="19"/>
          <w:szCs w:val="19"/>
          <w:lang w:eastAsia="fr-FR"/>
        </w:rPr>
        <w:t> relative au contentieux de l'urbanisme ;</w:t>
      </w:r>
      <w:r w:rsidRPr="00874A27">
        <w:rPr>
          <w:rFonts w:ascii="Arial" w:eastAsia="Times New Roman" w:hAnsi="Arial" w:cs="Arial"/>
          <w:color w:val="000000"/>
          <w:sz w:val="19"/>
          <w:szCs w:val="19"/>
          <w:lang w:eastAsia="fr-FR"/>
        </w:rPr>
        <w:br/>
        <w:t>5° L'</w:t>
      </w:r>
      <w:hyperlink r:id="rId692" w:history="1">
        <w:r w:rsidRPr="00874A27">
          <w:rPr>
            <w:rFonts w:ascii="Arial" w:eastAsia="Times New Roman" w:hAnsi="Arial" w:cs="Arial"/>
            <w:color w:val="336699"/>
            <w:sz w:val="19"/>
            <w:szCs w:val="19"/>
            <w:u w:val="single"/>
            <w:lang w:eastAsia="fr-FR"/>
          </w:rPr>
          <w:t>ordonnance n° 2013-888 du 3 octobre 2013</w:t>
        </w:r>
      </w:hyperlink>
      <w:r w:rsidRPr="00874A27">
        <w:rPr>
          <w:rFonts w:ascii="Arial" w:eastAsia="Times New Roman" w:hAnsi="Arial" w:cs="Arial"/>
          <w:color w:val="000000"/>
          <w:sz w:val="19"/>
          <w:szCs w:val="19"/>
          <w:lang w:eastAsia="fr-FR"/>
        </w:rPr>
        <w:t> relative à la procédure intégrée pour le logement ;</w:t>
      </w:r>
      <w:r w:rsidRPr="00874A27">
        <w:rPr>
          <w:rFonts w:ascii="Arial" w:eastAsia="Times New Roman" w:hAnsi="Arial" w:cs="Arial"/>
          <w:color w:val="000000"/>
          <w:sz w:val="19"/>
          <w:szCs w:val="19"/>
          <w:lang w:eastAsia="fr-FR"/>
        </w:rPr>
        <w:br/>
        <w:t>6° L'</w:t>
      </w:r>
      <w:hyperlink r:id="rId693" w:history="1">
        <w:r w:rsidRPr="00874A27">
          <w:rPr>
            <w:rFonts w:ascii="Arial" w:eastAsia="Times New Roman" w:hAnsi="Arial" w:cs="Arial"/>
            <w:color w:val="336699"/>
            <w:sz w:val="19"/>
            <w:szCs w:val="19"/>
            <w:u w:val="single"/>
            <w:lang w:eastAsia="fr-FR"/>
          </w:rPr>
          <w:t>ordonnance n° 2013-890 du 3 octobre 2013</w:t>
        </w:r>
      </w:hyperlink>
      <w:r w:rsidRPr="00874A27">
        <w:rPr>
          <w:rFonts w:ascii="Arial" w:eastAsia="Times New Roman" w:hAnsi="Arial" w:cs="Arial"/>
          <w:color w:val="000000"/>
          <w:sz w:val="19"/>
          <w:szCs w:val="19"/>
          <w:lang w:eastAsia="fr-FR"/>
        </w:rPr>
        <w:t> relative à la garantie financière en cas de vente en l'état futur d'achèvement ;</w:t>
      </w:r>
      <w:r w:rsidRPr="00874A27">
        <w:rPr>
          <w:rFonts w:ascii="Arial" w:eastAsia="Times New Roman" w:hAnsi="Arial" w:cs="Arial"/>
          <w:color w:val="000000"/>
          <w:sz w:val="19"/>
          <w:szCs w:val="19"/>
          <w:lang w:eastAsia="fr-FR"/>
        </w:rPr>
        <w:br/>
        <w:t>7° L'</w:t>
      </w:r>
      <w:hyperlink r:id="rId694" w:history="1">
        <w:r w:rsidRPr="00874A27">
          <w:rPr>
            <w:rFonts w:ascii="Arial" w:eastAsia="Times New Roman" w:hAnsi="Arial" w:cs="Arial"/>
            <w:color w:val="336699"/>
            <w:sz w:val="19"/>
            <w:szCs w:val="19"/>
            <w:u w:val="single"/>
            <w:lang w:eastAsia="fr-FR"/>
          </w:rPr>
          <w:t>ordonnance n° 2013-889 du 3 octobre 2013</w:t>
        </w:r>
      </w:hyperlink>
      <w:r w:rsidRPr="00874A27">
        <w:rPr>
          <w:rFonts w:ascii="Arial" w:eastAsia="Times New Roman" w:hAnsi="Arial" w:cs="Arial"/>
          <w:color w:val="000000"/>
          <w:sz w:val="19"/>
          <w:szCs w:val="19"/>
          <w:lang w:eastAsia="fr-FR"/>
        </w:rPr>
        <w:t> relative au développement de la construction de logement ;</w:t>
      </w:r>
      <w:r w:rsidRPr="00874A27">
        <w:rPr>
          <w:rFonts w:ascii="Arial" w:eastAsia="Times New Roman" w:hAnsi="Arial" w:cs="Arial"/>
          <w:color w:val="000000"/>
          <w:sz w:val="19"/>
          <w:szCs w:val="19"/>
          <w:lang w:eastAsia="fr-FR"/>
        </w:rPr>
        <w:br/>
        <w:t>8° L'</w:t>
      </w:r>
      <w:hyperlink r:id="rId695" w:history="1">
        <w:r w:rsidRPr="00874A27">
          <w:rPr>
            <w:rFonts w:ascii="Arial" w:eastAsia="Times New Roman" w:hAnsi="Arial" w:cs="Arial"/>
            <w:color w:val="336699"/>
            <w:sz w:val="19"/>
            <w:szCs w:val="19"/>
            <w:u w:val="single"/>
            <w:lang w:eastAsia="fr-FR"/>
          </w:rPr>
          <w:t>ordonnance n° 2013-1184 du 19 décembre 2013</w:t>
        </w:r>
      </w:hyperlink>
      <w:r w:rsidRPr="00874A27">
        <w:rPr>
          <w:rFonts w:ascii="Arial" w:eastAsia="Times New Roman" w:hAnsi="Arial" w:cs="Arial"/>
          <w:color w:val="000000"/>
          <w:sz w:val="19"/>
          <w:szCs w:val="19"/>
          <w:lang w:eastAsia="fr-FR"/>
        </w:rPr>
        <w:t> relative à l'amélioration des conditions d'accès aux documents d'urbanisme et aux servitudes d'utilité publique ;</w:t>
      </w:r>
      <w:r w:rsidRPr="00874A27">
        <w:rPr>
          <w:rFonts w:ascii="Arial" w:eastAsia="Times New Roman" w:hAnsi="Arial" w:cs="Arial"/>
          <w:color w:val="000000"/>
          <w:sz w:val="19"/>
          <w:szCs w:val="19"/>
          <w:lang w:eastAsia="fr-FR"/>
        </w:rPr>
        <w:br/>
        <w:t>9° L'</w:t>
      </w:r>
      <w:hyperlink r:id="rId696" w:history="1">
        <w:r w:rsidRPr="00874A27">
          <w:rPr>
            <w:rFonts w:ascii="Arial" w:eastAsia="Times New Roman" w:hAnsi="Arial" w:cs="Arial"/>
            <w:color w:val="336699"/>
            <w:sz w:val="19"/>
            <w:szCs w:val="19"/>
            <w:u w:val="single"/>
            <w:lang w:eastAsia="fr-FR"/>
          </w:rPr>
          <w:t>ordonnance n° 2013-1185 du 19 décembre 2013</w:t>
        </w:r>
      </w:hyperlink>
      <w:r w:rsidRPr="00874A27">
        <w:rPr>
          <w:rFonts w:ascii="Arial" w:eastAsia="Times New Roman" w:hAnsi="Arial" w:cs="Arial"/>
          <w:color w:val="000000"/>
          <w:sz w:val="19"/>
          <w:szCs w:val="19"/>
          <w:lang w:eastAsia="fr-FR"/>
        </w:rPr>
        <w:t> relative au taux de garantie que les collectivités territoriales et leurs groupements peuvent apporter à des emprunts souscrits par un concessionnaire d'aménagement.</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72" w:name="JORFARTI000028773261"/>
      <w:bookmarkEnd w:id="172"/>
      <w:r w:rsidRPr="00874A27">
        <w:rPr>
          <w:rFonts w:ascii="Arial" w:eastAsia="Times New Roman" w:hAnsi="Arial" w:cs="Arial"/>
          <w:b/>
          <w:bCs/>
          <w:color w:val="000000"/>
          <w:sz w:val="23"/>
          <w:szCs w:val="23"/>
          <w:lang w:eastAsia="fr-FR"/>
        </w:rPr>
        <w:t>Article 173 </w:t>
      </w:r>
      <w:hyperlink r:id="rId697" w:tooltip="En savoir plus sur l'article 173"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l'environnementest ainsi modifié :</w:t>
      </w:r>
      <w:r w:rsidRPr="00874A27">
        <w:rPr>
          <w:rFonts w:ascii="Arial" w:eastAsia="Times New Roman" w:hAnsi="Arial" w:cs="Arial"/>
          <w:color w:val="000000"/>
          <w:sz w:val="19"/>
          <w:szCs w:val="19"/>
          <w:lang w:eastAsia="fr-FR"/>
        </w:rPr>
        <w:br/>
        <w:t>1° L'article L. 125-6 est ainsi rédigé :</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t>« Art. L. 125-6.-I. ― L'Etat élabore, au regard des informations dont il dispose, des secteurs d'information sur les sols qui comprennent les terrains où la connaissance de la pollution des sols justifie, notamment en cas de changement d'usage, la réalisation d'études de sols et de mesures de gestion de la pollution pour préserver la sécurité, la santé ou la salubrité publiques et l'environnement.</w:t>
      </w:r>
      <w:r w:rsidRPr="00874A27">
        <w:rPr>
          <w:rFonts w:ascii="Arial" w:eastAsia="Times New Roman" w:hAnsi="Arial" w:cs="Arial"/>
          <w:color w:val="000000"/>
          <w:sz w:val="19"/>
          <w:szCs w:val="19"/>
          <w:lang w:eastAsia="fr-FR"/>
        </w:rPr>
        <w:br/>
        <w:t>« II. ― Le représentant de l'Etat dans le département recueille l'avis des maires des communes sur le territoire desquelles sont situés les projets de secteur d'information sur les sols et, le cas échéant, celui des présidents des établissements publics de coopération intercommunale compétents en matière d'urbanisme. Il informe les propriétaires des terrains concernés.</w:t>
      </w:r>
      <w:r w:rsidRPr="00874A27">
        <w:rPr>
          <w:rFonts w:ascii="Arial" w:eastAsia="Times New Roman" w:hAnsi="Arial" w:cs="Arial"/>
          <w:color w:val="000000"/>
          <w:sz w:val="19"/>
          <w:szCs w:val="19"/>
          <w:lang w:eastAsia="fr-FR"/>
        </w:rPr>
        <w:br/>
        <w:t>« Les secteurs d'information sur les sols sont arrêtés par le représentant de l'Etat dans le département.</w:t>
      </w:r>
      <w:r w:rsidRPr="00874A27">
        <w:rPr>
          <w:rFonts w:ascii="Arial" w:eastAsia="Times New Roman" w:hAnsi="Arial" w:cs="Arial"/>
          <w:color w:val="000000"/>
          <w:sz w:val="19"/>
          <w:szCs w:val="19"/>
          <w:lang w:eastAsia="fr-FR"/>
        </w:rPr>
        <w:br/>
        <w:t>« III. ― Les secteurs d'information sur les sols sont indiqués sur un ou plusieurs documents graphiques et annexés au plan local d'urbanisme ou au document d'urbanisme en tenant lieu ou à la carte communale.</w:t>
      </w:r>
      <w:r w:rsidRPr="00874A27">
        <w:rPr>
          <w:rFonts w:ascii="Arial" w:eastAsia="Times New Roman" w:hAnsi="Arial" w:cs="Arial"/>
          <w:color w:val="000000"/>
          <w:sz w:val="19"/>
          <w:szCs w:val="19"/>
          <w:lang w:eastAsia="fr-FR"/>
        </w:rPr>
        <w:br/>
        <w:t>« IV. ― L'Etat publie, au regard des informations dont il dispose, une carte des anciens sites industriels et activités de services. Le certificat d'urbanisme prévu à l'</w:t>
      </w:r>
      <w:hyperlink r:id="rId698" w:history="1">
        <w:r w:rsidRPr="00874A27">
          <w:rPr>
            <w:rFonts w:ascii="Arial" w:eastAsia="Times New Roman" w:hAnsi="Arial" w:cs="Arial"/>
            <w:color w:val="336699"/>
            <w:sz w:val="19"/>
            <w:szCs w:val="19"/>
            <w:u w:val="single"/>
            <w:lang w:eastAsia="fr-FR"/>
          </w:rPr>
          <w:t>article L. 410-1 du code de l'urbanisme </w:t>
        </w:r>
      </w:hyperlink>
      <w:r w:rsidRPr="00874A27">
        <w:rPr>
          <w:rFonts w:ascii="Arial" w:eastAsia="Times New Roman" w:hAnsi="Arial" w:cs="Arial"/>
          <w:color w:val="000000"/>
          <w:sz w:val="19"/>
          <w:szCs w:val="19"/>
          <w:lang w:eastAsia="fr-FR"/>
        </w:rPr>
        <w:t>indique si le terrain est situé sur un site répertorié sur cette carte ou sur un ancien site industriel ou de service dont le service instructeur du certificat d'urbanisme a connaissance.</w:t>
      </w:r>
      <w:r w:rsidRPr="00874A27">
        <w:rPr>
          <w:rFonts w:ascii="Arial" w:eastAsia="Times New Roman" w:hAnsi="Arial" w:cs="Arial"/>
          <w:color w:val="000000"/>
          <w:sz w:val="19"/>
          <w:szCs w:val="19"/>
          <w:lang w:eastAsia="fr-FR"/>
        </w:rPr>
        <w:br/>
        <w:t>« V. ― Un décret en Conseil d'Etat définit les modalités d'application du présent article. » ;</w:t>
      </w:r>
      <w:r w:rsidRPr="00874A27">
        <w:rPr>
          <w:rFonts w:ascii="Arial" w:eastAsia="Times New Roman" w:hAnsi="Arial" w:cs="Arial"/>
          <w:color w:val="000000"/>
          <w:sz w:val="19"/>
          <w:szCs w:val="19"/>
          <w:lang w:eastAsia="fr-FR"/>
        </w:rPr>
        <w:br/>
        <w:t>2° L'article L. 125-7 est ainsi rédigé :</w:t>
      </w:r>
      <w:r w:rsidRPr="00874A27">
        <w:rPr>
          <w:rFonts w:ascii="Arial" w:eastAsia="Times New Roman" w:hAnsi="Arial" w:cs="Arial"/>
          <w:color w:val="000000"/>
          <w:sz w:val="19"/>
          <w:szCs w:val="19"/>
          <w:lang w:eastAsia="fr-FR"/>
        </w:rPr>
        <w:br/>
        <w:t>« Art. L. 125-7.-Sans préjudice de l'article L. 514-20 et de l'article L. 125-5, lorsqu'un terrain situé en secteur d'information sur les sols mentionné à l'article L. 125-6 fait l'objet d'un contrat de vente ou de location, le vendeur ou le bailleur du terrain est tenu d'en informer par écrit l'acquéreur ou le locataire. Il communique les informations rendues publiques par l'Etat, en application de l'article L. 125-6. L'acte de vente ou de location atteste de l'accomplissement de cette formalité.</w:t>
      </w:r>
      <w:r w:rsidRPr="00874A27">
        <w:rPr>
          <w:rFonts w:ascii="Arial" w:eastAsia="Times New Roman" w:hAnsi="Arial" w:cs="Arial"/>
          <w:color w:val="000000"/>
          <w:sz w:val="19"/>
          <w:szCs w:val="19"/>
          <w:lang w:eastAsia="fr-FR"/>
        </w:rPr>
        <w:br/>
        <w:t>« A défaut et si une pollution constatée rend le terrain impropre à la destination précisée dans le contrat, dans un délai de deux ans à compter de la découverte de la pollution, l'acquéreur ou le locataire a le choix de demander la résolution du contrat ou, selon le cas, de se faire restituer une partie du prix de vente ou d'obtenir une réduction du loyer. L'acquéreur peut aussi demander la réhabilitation du terrain aux frais du vendeur lorsque le coût de cette réhabilitation ne paraît pas disproportionné par rapport au prix de vente.</w:t>
      </w:r>
      <w:r w:rsidRPr="00874A27">
        <w:rPr>
          <w:rFonts w:ascii="Arial" w:eastAsia="Times New Roman" w:hAnsi="Arial" w:cs="Arial"/>
          <w:color w:val="000000"/>
          <w:sz w:val="19"/>
          <w:szCs w:val="19"/>
          <w:lang w:eastAsia="fr-FR"/>
        </w:rPr>
        <w:br/>
        <w:t>« Un décret en Conseil d'Etat définit les modalités d'application du présent article. » ;</w:t>
      </w:r>
      <w:r w:rsidRPr="00874A27">
        <w:rPr>
          <w:rFonts w:ascii="Arial" w:eastAsia="Times New Roman" w:hAnsi="Arial" w:cs="Arial"/>
          <w:color w:val="000000"/>
          <w:sz w:val="19"/>
          <w:szCs w:val="19"/>
          <w:lang w:eastAsia="fr-FR"/>
        </w:rPr>
        <w:br/>
        <w:t>3° La section 4 du chapitre II du titre Ier du livre V est complétée par un article L. 512-21 ainsi rédigé :</w:t>
      </w:r>
      <w:r w:rsidRPr="00874A27">
        <w:rPr>
          <w:rFonts w:ascii="Arial" w:eastAsia="Times New Roman" w:hAnsi="Arial" w:cs="Arial"/>
          <w:color w:val="000000"/>
          <w:sz w:val="19"/>
          <w:szCs w:val="19"/>
          <w:lang w:eastAsia="fr-FR"/>
        </w:rPr>
        <w:br/>
        <w:t>« Art. L. 512-21.-I. ― Lors de la mise à l'arrêt définitif d'une installation classée pour la protection de l'environnement ou postérieurement à cette dernière, un tiers intéressé peut demander au représentant de l'Etat dans le département de se substituer à l'exploitant, avec son accord, pour réaliser les travaux de réhabilitation en fonction de l'usage que ce tiers envisage pour le terrain concerné.</w:t>
      </w:r>
      <w:r w:rsidRPr="00874A27">
        <w:rPr>
          <w:rFonts w:ascii="Arial" w:eastAsia="Times New Roman" w:hAnsi="Arial" w:cs="Arial"/>
          <w:color w:val="000000"/>
          <w:sz w:val="19"/>
          <w:szCs w:val="19"/>
          <w:lang w:eastAsia="fr-FR"/>
        </w:rPr>
        <w:br/>
        <w:t>« II. ― Lorsque l'usage ou les usages envisagés par le tiers demandeur sont d'une autre nature que ceux définis, selon le cas, en application des articles L. 512-6-1, L. 512-7-6 ou L. 512-12-1, le tiers demandeur recueille l'accord du dernier exploitant, du maire ou du président de l'établissement public de coopération intercommunale compétent en matière d'urbanisme et, s'il ne s'agit pas de l'exploitant, du propriétaire du terrain sur lequel est sise l'installation.</w:t>
      </w:r>
      <w:r w:rsidRPr="00874A27">
        <w:rPr>
          <w:rFonts w:ascii="Arial" w:eastAsia="Times New Roman" w:hAnsi="Arial" w:cs="Arial"/>
          <w:color w:val="000000"/>
          <w:sz w:val="19"/>
          <w:szCs w:val="19"/>
          <w:lang w:eastAsia="fr-FR"/>
        </w:rPr>
        <w:br/>
        <w:t>« III. ― Le tiers demandeur adresse au représentant de l'Etat dans le département un mémoire de réhabilitation définissant les mesures permettant d'assurer la compatibilité entre l'usage futur envisagé et l'état des sols.</w:t>
      </w:r>
      <w:r w:rsidRPr="00874A27">
        <w:rPr>
          <w:rFonts w:ascii="Arial" w:eastAsia="Times New Roman" w:hAnsi="Arial" w:cs="Arial"/>
          <w:color w:val="000000"/>
          <w:sz w:val="19"/>
          <w:szCs w:val="19"/>
          <w:lang w:eastAsia="fr-FR"/>
        </w:rPr>
        <w:br/>
        <w:t>« IV. ― Le représentant de l'Etat dans le département se prononce sur l'usage proposé dans le cas mentionné au II et peut prescrire au tiers demandeur les mesures de réhabilitation nécessaires pour l'usage envisagé.</w:t>
      </w:r>
      <w:r w:rsidRPr="00874A27">
        <w:rPr>
          <w:rFonts w:ascii="Arial" w:eastAsia="Times New Roman" w:hAnsi="Arial" w:cs="Arial"/>
          <w:color w:val="000000"/>
          <w:sz w:val="19"/>
          <w:szCs w:val="19"/>
          <w:lang w:eastAsia="fr-FR"/>
        </w:rPr>
        <w:br/>
        <w:t>« V. ― Le tiers demandeur doit disposer de capacités techniques suffisantes et de garanties financières couvrant la réalisation des travaux de réhabilitation définis au IV pour assurer la compatibilité entre l'état des sols et l'usage défini. Ces garanties sont exigibles à la première demande.</w:t>
      </w:r>
      <w:r w:rsidRPr="00874A27">
        <w:rPr>
          <w:rFonts w:ascii="Arial" w:eastAsia="Times New Roman" w:hAnsi="Arial" w:cs="Arial"/>
          <w:color w:val="000000"/>
          <w:sz w:val="19"/>
          <w:szCs w:val="19"/>
          <w:lang w:eastAsia="fr-FR"/>
        </w:rPr>
        <w:br/>
        <w:t>« Toute modification substantielle des mesures prévues dans le mémoire de réhabilitation rendant nécessaires des travaux de réhabilitation supplémentaires pour assurer la compatibilité entre l'état des sols et le nouvel usage envisagé peut faire l'objet d'une réévaluation du montant des garanties financières.</w:t>
      </w:r>
      <w:r w:rsidRPr="00874A27">
        <w:rPr>
          <w:rFonts w:ascii="Arial" w:eastAsia="Times New Roman" w:hAnsi="Arial" w:cs="Arial"/>
          <w:color w:val="000000"/>
          <w:sz w:val="19"/>
          <w:szCs w:val="19"/>
          <w:lang w:eastAsia="fr-FR"/>
        </w:rPr>
        <w:br/>
        <w:t>« VI. ― Les arrêtés préfectoraux prévus au présent article peuvent faire l'objet des mesures de police prévues au chapitre Ier du titre VII du livre Ier.</w:t>
      </w:r>
      <w:r w:rsidRPr="00874A27">
        <w:rPr>
          <w:rFonts w:ascii="Arial" w:eastAsia="Times New Roman" w:hAnsi="Arial" w:cs="Arial"/>
          <w:color w:val="000000"/>
          <w:sz w:val="19"/>
          <w:szCs w:val="19"/>
          <w:lang w:eastAsia="fr-FR"/>
        </w:rPr>
        <w:br/>
        <w:t>« VII. ― En cas de défaillance du tiers demandeur et de l'impossibilité de mettre en œuvre les garanties financières mentionnées au V, le dernier exploitant met en œuvre les mesures de réhabilitation pour l'usage défini dans les conditions prévues aux articles L. 512-6-1, L. 512-7-6 et L. 512-12-1.</w:t>
      </w:r>
      <w:r w:rsidRPr="00874A27">
        <w:rPr>
          <w:rFonts w:ascii="Arial" w:eastAsia="Times New Roman" w:hAnsi="Arial" w:cs="Arial"/>
          <w:color w:val="000000"/>
          <w:sz w:val="19"/>
          <w:szCs w:val="19"/>
          <w:lang w:eastAsia="fr-FR"/>
        </w:rPr>
        <w:br/>
        <w:t>« VIII. ― Un décret en Conseil d'Etat définit les modalités d'application du présent article. Il prévoit, notamment, les modalités de substitution du tiers et le formalisme de l'accord de l'exploitant ou du propriétaire. » ;</w:t>
      </w:r>
      <w:r w:rsidRPr="00874A27">
        <w:rPr>
          <w:rFonts w:ascii="Arial" w:eastAsia="Times New Roman" w:hAnsi="Arial" w:cs="Arial"/>
          <w:color w:val="000000"/>
          <w:sz w:val="19"/>
          <w:szCs w:val="19"/>
          <w:lang w:eastAsia="fr-FR"/>
        </w:rPr>
        <w:br/>
        <w:t>4° Le dernier alinéa de l'article L. 514-20 est ainsi rédigé :</w:t>
      </w:r>
      <w:r w:rsidRPr="00874A27">
        <w:rPr>
          <w:rFonts w:ascii="Arial" w:eastAsia="Times New Roman" w:hAnsi="Arial" w:cs="Arial"/>
          <w:color w:val="000000"/>
          <w:sz w:val="19"/>
          <w:szCs w:val="19"/>
          <w:lang w:eastAsia="fr-FR"/>
        </w:rPr>
        <w:br/>
        <w:t xml:space="preserve">« A défaut, et si une pollution constatée rend le terrain impropre à la destination précisée dans le </w:t>
      </w:r>
      <w:r w:rsidRPr="00874A27">
        <w:rPr>
          <w:rFonts w:ascii="Arial" w:eastAsia="Times New Roman" w:hAnsi="Arial" w:cs="Arial"/>
          <w:color w:val="000000"/>
          <w:sz w:val="19"/>
          <w:szCs w:val="19"/>
          <w:lang w:eastAsia="fr-FR"/>
        </w:rPr>
        <w:lastRenderedPageBreak/>
        <w:t>contrat, dans un délai de deux ans à compter de la découverte de la pollution, l'acheteur a le choix de demander la résolution de la vente ou de se faire restituer une partie du prix ; il peut aussi demander la réhabilitation du site aux frais du vendeur, lorsque le coût de cette réhabilitation ne paraît pas disproportionné par rapport au prix de vente. » ;</w:t>
      </w:r>
      <w:r w:rsidRPr="00874A27">
        <w:rPr>
          <w:rFonts w:ascii="Arial" w:eastAsia="Times New Roman" w:hAnsi="Arial" w:cs="Arial"/>
          <w:color w:val="000000"/>
          <w:sz w:val="19"/>
          <w:szCs w:val="19"/>
          <w:lang w:eastAsia="fr-FR"/>
        </w:rPr>
        <w:br/>
        <w:t>5° L'article L. 515-12 est complété par trois alinéas ainsi rédigés :</w:t>
      </w:r>
      <w:r w:rsidRPr="00874A27">
        <w:rPr>
          <w:rFonts w:ascii="Arial" w:eastAsia="Times New Roman" w:hAnsi="Arial" w:cs="Arial"/>
          <w:color w:val="000000"/>
          <w:sz w:val="19"/>
          <w:szCs w:val="19"/>
          <w:lang w:eastAsia="fr-FR"/>
        </w:rPr>
        <w:br/>
        <w:t>« Dans le cas des terrains pollués par l'exploitation d'une installation classée, lorsqu'une servitude d'utilité publique est devenue sans objet, elle peut être supprimée, à la demande de l'ancien exploitant, du maire, du propriétaire du terrain, ou à l'initiative du représentant de l'Etat dans le département.</w:t>
      </w:r>
      <w:r w:rsidRPr="00874A27">
        <w:rPr>
          <w:rFonts w:ascii="Arial" w:eastAsia="Times New Roman" w:hAnsi="Arial" w:cs="Arial"/>
          <w:color w:val="000000"/>
          <w:sz w:val="19"/>
          <w:szCs w:val="19"/>
          <w:lang w:eastAsia="fr-FR"/>
        </w:rPr>
        <w:br/>
        <w:t>« Dans les cas où la demande d'abrogation est faite par l'exploitant, le maire ou le propriétaire, cette demande doit être accompagnée d'un rapport justifiant que cette servitude d'utilité publique est devenue sans objet.</w:t>
      </w:r>
      <w:r w:rsidRPr="00874A27">
        <w:rPr>
          <w:rFonts w:ascii="Arial" w:eastAsia="Times New Roman" w:hAnsi="Arial" w:cs="Arial"/>
          <w:color w:val="000000"/>
          <w:sz w:val="19"/>
          <w:szCs w:val="19"/>
          <w:lang w:eastAsia="fr-FR"/>
        </w:rPr>
        <w:br/>
        <w:t>« Lorsqu'ils ne sont pas à l'origine de la demande, le propriétaire du terrain et l'exploitant sont informés par le représentant de l'Etat dans le département du projet de suppression de la servitude. » ;</w:t>
      </w:r>
      <w:r w:rsidRPr="00874A27">
        <w:rPr>
          <w:rFonts w:ascii="Arial" w:eastAsia="Times New Roman" w:hAnsi="Arial" w:cs="Arial"/>
          <w:color w:val="000000"/>
          <w:sz w:val="19"/>
          <w:szCs w:val="19"/>
          <w:lang w:eastAsia="fr-FR"/>
        </w:rPr>
        <w:br/>
        <w:t>6° L'article L. 556-1 est ainsi rédigé :</w:t>
      </w:r>
      <w:r w:rsidRPr="00874A27">
        <w:rPr>
          <w:rFonts w:ascii="Arial" w:eastAsia="Times New Roman" w:hAnsi="Arial" w:cs="Arial"/>
          <w:color w:val="000000"/>
          <w:sz w:val="19"/>
          <w:szCs w:val="19"/>
          <w:lang w:eastAsia="fr-FR"/>
        </w:rPr>
        <w:br/>
        <w:t>« Art. L. 556-1.-Sans préjudice des articles L. 512-6-1, L. 512-7-6 et L. 512-12-1, sur les terrains ayant accueilli une installation classée mise à l'arrêt définitif et régulièrement réhabilitée pour permettre l'usage défini dans les conditions prévues par ces mêmes articles, lorsqu'un usage différent est ultérieurement envisagé, le maître d'ouvrage à l'initiative du changement d'usage doit définir des mesures de gestion de la pollution des sols et les mettre en œuvre afin d'assurer la compatibilité entre l'état des sols et la protection de la sécurité, de la santé ou de la salubrité publiques, l'agriculture et l'environnement au regard du nouvel usage projeté.</w:t>
      </w:r>
      <w:r w:rsidRPr="00874A27">
        <w:rPr>
          <w:rFonts w:ascii="Arial" w:eastAsia="Times New Roman" w:hAnsi="Arial" w:cs="Arial"/>
          <w:color w:val="000000"/>
          <w:sz w:val="19"/>
          <w:szCs w:val="19"/>
          <w:lang w:eastAsia="fr-FR"/>
        </w:rPr>
        <w:br/>
        <w:t>« Ces mesures de gestion de la pollution sont définies en tenant compte de l'efficacité des techniques de réhabilitation dans des conditions économiquement acceptables ainsi que du bilan des coûts, des inconvénients et avantages des mesures envisagées. Le maître d'ouvrage à l'initiative du changement d'usage fait attester de cette mise en œuvre par un bureau d'études certifié dans le domaine des sites et sols pollués, conformément à une norme définie par arrêté du ministre chargé de l'environnement, ou équivalent. Le cas échéant, cette attestation est jointe au dossier de demande de permis de construire ou d'aménager.</w:t>
      </w:r>
      <w:r w:rsidRPr="00874A27">
        <w:rPr>
          <w:rFonts w:ascii="Arial" w:eastAsia="Times New Roman" w:hAnsi="Arial" w:cs="Arial"/>
          <w:color w:val="000000"/>
          <w:sz w:val="19"/>
          <w:szCs w:val="19"/>
          <w:lang w:eastAsia="fr-FR"/>
        </w:rPr>
        <w:br/>
        <w:t>« Le cas échéant, s'il demeure une pollution résiduelle sur le terrain concerné compatible avec les nouveaux usages, le maître d'ouvrage à l'initiative du changement d'usage en informe le propriétaire et le représentant de l'Etat dans le département. Le représentant de l'Etat dans le département peut créer sur le terrain concerné un secteur d'information sur les sols.</w:t>
      </w:r>
      <w:r w:rsidRPr="00874A27">
        <w:rPr>
          <w:rFonts w:ascii="Arial" w:eastAsia="Times New Roman" w:hAnsi="Arial" w:cs="Arial"/>
          <w:color w:val="000000"/>
          <w:sz w:val="19"/>
          <w:szCs w:val="19"/>
          <w:lang w:eastAsia="fr-FR"/>
        </w:rPr>
        <w:br/>
        <w:t>« En cas de modification de la consistance du projet initial, le maître d'ouvrage à l'initiative de cette modification complète ou adapte, si nécessaire, les mesures de gestion définies au premier alinéa.</w:t>
      </w:r>
      <w:r w:rsidRPr="00874A27">
        <w:rPr>
          <w:rFonts w:ascii="Arial" w:eastAsia="Times New Roman" w:hAnsi="Arial" w:cs="Arial"/>
          <w:color w:val="000000"/>
          <w:sz w:val="19"/>
          <w:szCs w:val="19"/>
          <w:lang w:eastAsia="fr-FR"/>
        </w:rPr>
        <w:br/>
        <w:t>« Les modalités d'application du présent article sont définies par décret en Conseil d'Etat. » ;</w:t>
      </w:r>
      <w:r w:rsidRPr="00874A27">
        <w:rPr>
          <w:rFonts w:ascii="Arial" w:eastAsia="Times New Roman" w:hAnsi="Arial" w:cs="Arial"/>
          <w:color w:val="000000"/>
          <w:sz w:val="19"/>
          <w:szCs w:val="19"/>
          <w:lang w:eastAsia="fr-FR"/>
        </w:rPr>
        <w:br/>
        <w:t>7° Le chapitre VI du titre V du livre V est complété par deux articles L. 556-2 et L. 556-3 ainsi rédigés :</w:t>
      </w:r>
      <w:r w:rsidRPr="00874A27">
        <w:rPr>
          <w:rFonts w:ascii="Arial" w:eastAsia="Times New Roman" w:hAnsi="Arial" w:cs="Arial"/>
          <w:color w:val="000000"/>
          <w:sz w:val="19"/>
          <w:szCs w:val="19"/>
          <w:lang w:eastAsia="fr-FR"/>
        </w:rPr>
        <w:br/>
        <w:t>« Art. L. 556-2.-Les projets de construction ou de lotissement prévus dans un secteur d'information sur les sols tel que prévu à l'article L. 125-6 font l'objet d'une étude des sols afin d'établir les mesures de gestion de la pollution à mettre en œuvre pour assurer la compatibilité entre l'usage futur et l'état des sols.</w:t>
      </w:r>
      <w:r w:rsidRPr="00874A27">
        <w:rPr>
          <w:rFonts w:ascii="Arial" w:eastAsia="Times New Roman" w:hAnsi="Arial" w:cs="Arial"/>
          <w:color w:val="000000"/>
          <w:sz w:val="19"/>
          <w:szCs w:val="19"/>
          <w:lang w:eastAsia="fr-FR"/>
        </w:rPr>
        <w:br/>
        <w:t>« Pour les projets soumis à permis de construire ou d'aménager, le maître d'ouvrage fournit dans le dossier de demande de permis une attestation garantissant la réalisation de cette étude des sols et de sa prise en compte dans la conception du projet de construction ou de lotissement. Cette attestation doit être établie par un bureau d'études certifié dans le domaine des sites et sols pollués, conformément à une norme définie par arrêté du ministre chargé de l'environnement, ou équivalent.</w:t>
      </w:r>
      <w:r w:rsidRPr="00874A27">
        <w:rPr>
          <w:rFonts w:ascii="Arial" w:eastAsia="Times New Roman" w:hAnsi="Arial" w:cs="Arial"/>
          <w:color w:val="000000"/>
          <w:sz w:val="19"/>
          <w:szCs w:val="19"/>
          <w:lang w:eastAsia="fr-FR"/>
        </w:rPr>
        <w:br/>
        <w:t>« L'attestation n'est pas requise lors du dépôt de la demande de permis d'aménager par une personne ayant qualité pour bénéficier de l'expropriation pour cause d'utilité publique, dès lors que l'opération de lotissement a donné lieu à la publication d'une déclaration d'utilité publique.</w:t>
      </w:r>
      <w:r w:rsidRPr="00874A27">
        <w:rPr>
          <w:rFonts w:ascii="Arial" w:eastAsia="Times New Roman" w:hAnsi="Arial" w:cs="Arial"/>
          <w:color w:val="000000"/>
          <w:sz w:val="19"/>
          <w:szCs w:val="19"/>
          <w:lang w:eastAsia="fr-FR"/>
        </w:rPr>
        <w:br/>
        <w:t>« L'attestation n'est pas requise lors du dépôt de la demande de permis de construire, lorsque la construction projetée est située dans le périmètre d'un lotissement autorisé ayant fait l'objet d'une demande comportant une attestation garantissant la réalisation d'une étude des sols et sa prise en compte dans la conception du projet d'aménagement.</w:t>
      </w:r>
      <w:r w:rsidRPr="00874A27">
        <w:rPr>
          <w:rFonts w:ascii="Arial" w:eastAsia="Times New Roman" w:hAnsi="Arial" w:cs="Arial"/>
          <w:color w:val="000000"/>
          <w:sz w:val="19"/>
          <w:szCs w:val="19"/>
          <w:lang w:eastAsia="fr-FR"/>
        </w:rPr>
        <w:br/>
        <w:t>« Le présent article s'applique sans préjudice des dispositions spécifiques sur la pollution des sols déjà prévues dans les documents d'urbanisme.</w:t>
      </w:r>
      <w:r w:rsidRPr="00874A27">
        <w:rPr>
          <w:rFonts w:ascii="Arial" w:eastAsia="Times New Roman" w:hAnsi="Arial" w:cs="Arial"/>
          <w:color w:val="000000"/>
          <w:sz w:val="19"/>
          <w:szCs w:val="19"/>
          <w:lang w:eastAsia="fr-FR"/>
        </w:rPr>
        <w:br/>
        <w:t>« Un décret en Conseil d'Etat définit les modalités d'application du présent article.</w:t>
      </w:r>
      <w:r w:rsidRPr="00874A27">
        <w:rPr>
          <w:rFonts w:ascii="Arial" w:eastAsia="Times New Roman" w:hAnsi="Arial" w:cs="Arial"/>
          <w:color w:val="000000"/>
          <w:sz w:val="19"/>
          <w:szCs w:val="19"/>
          <w:lang w:eastAsia="fr-FR"/>
        </w:rPr>
        <w:br/>
        <w:t xml:space="preserve">« Art. L. 556-3.-I. ― En cas de pollution des sols ou de risques de pollution des sols présentant des risques pour la santé, la sécurité, la salubrité publiques et l'environnement au regard de l'usage pris en compte, l'autorité titulaire du pouvoir de police peut, après mise en demeure, assurer d'office l'exécution des travaux nécessaires aux frais du responsable. L'exécution des travaux ordonnés d'office peut être confiée par le ministre chargé de l'environnement et par le ministre chargé de l'urbanisme à un établissement public foncier ou, en l'absence d'un tel établissement, à l'Agence de l'environnement et de la maîtrise de l'énergie. L'autorité titulaire du pouvoir de police peut également obliger le responsable à consigner entre les mains d'un comptable public une somme répondant du montant des travaux à réaliser, laquelle sera restituée au fur et à mesure de l'exécution des travaux. Les sommes </w:t>
      </w:r>
      <w:r w:rsidRPr="00874A27">
        <w:rPr>
          <w:rFonts w:ascii="Arial" w:eastAsia="Times New Roman" w:hAnsi="Arial" w:cs="Arial"/>
          <w:color w:val="000000"/>
          <w:sz w:val="19"/>
          <w:szCs w:val="19"/>
          <w:lang w:eastAsia="fr-FR"/>
        </w:rPr>
        <w:lastRenderedPageBreak/>
        <w:t>consignées peuvent, le cas échéant, être utilisées pour régler les dépenses entraînées par l'exécution d'office. Lorsqu'un établissement public foncier ou l'Agence de l'environnement et de la maîtrise de l'énergie intervient pour exécuter des travaux ordonnés d'office, les sommes consignées lui sont réservées à sa demande.</w:t>
      </w:r>
      <w:r w:rsidRPr="00874A27">
        <w:rPr>
          <w:rFonts w:ascii="Arial" w:eastAsia="Times New Roman" w:hAnsi="Arial" w:cs="Arial"/>
          <w:color w:val="000000"/>
          <w:sz w:val="19"/>
          <w:szCs w:val="19"/>
          <w:lang w:eastAsia="fr-FR"/>
        </w:rPr>
        <w:br/>
        <w:t>« Il est procédé, le cas échéant, au recouvrement de ces sommes comme en matière de créances étrangères à l'impôt et au domaine. Pour ce recouvrement, l'Etat bénéficie d'un privilège de même rang que celui prévu à l'</w:t>
      </w:r>
      <w:hyperlink r:id="rId699" w:history="1">
        <w:r w:rsidRPr="00874A27">
          <w:rPr>
            <w:rFonts w:ascii="Arial" w:eastAsia="Times New Roman" w:hAnsi="Arial" w:cs="Arial"/>
            <w:color w:val="336699"/>
            <w:sz w:val="19"/>
            <w:szCs w:val="19"/>
            <w:u w:val="single"/>
            <w:lang w:eastAsia="fr-FR"/>
          </w:rPr>
          <w:t>article 1920 du code général des impôts</w:t>
        </w:r>
      </w:hyperlink>
      <w:r w:rsidRPr="00874A27">
        <w:rPr>
          <w:rFonts w:ascii="Arial" w:eastAsia="Times New Roman" w:hAnsi="Arial" w:cs="Arial"/>
          <w:color w:val="000000"/>
          <w:sz w:val="19"/>
          <w:szCs w:val="19"/>
          <w:lang w:eastAsia="fr-FR"/>
        </w:rPr>
        <w:t>. Le comptable peut engager la procédure d'avis à tiers détenteur prévue à l'</w:t>
      </w:r>
      <w:hyperlink r:id="rId700" w:history="1">
        <w:r w:rsidRPr="00874A27">
          <w:rPr>
            <w:rFonts w:ascii="Arial" w:eastAsia="Times New Roman" w:hAnsi="Arial" w:cs="Arial"/>
            <w:color w:val="336699"/>
            <w:sz w:val="19"/>
            <w:szCs w:val="19"/>
            <w:u w:val="single"/>
            <w:lang w:eastAsia="fr-FR"/>
          </w:rPr>
          <w:t>article L. 263 du livre des procédures fiscales</w:t>
        </w:r>
      </w:hyperlink>
      <w:r w:rsidRPr="00874A27">
        <w:rPr>
          <w:rFonts w:ascii="Arial" w:eastAsia="Times New Roman" w:hAnsi="Arial" w:cs="Arial"/>
          <w:color w:val="000000"/>
          <w:sz w:val="19"/>
          <w:szCs w:val="19"/>
          <w:lang w:eastAsia="fr-FR"/>
        </w:rPr>
        <w:t>.</w:t>
      </w:r>
      <w:r w:rsidRPr="00874A27">
        <w:rPr>
          <w:rFonts w:ascii="Arial" w:eastAsia="Times New Roman" w:hAnsi="Arial" w:cs="Arial"/>
          <w:color w:val="000000"/>
          <w:sz w:val="19"/>
          <w:szCs w:val="19"/>
          <w:lang w:eastAsia="fr-FR"/>
        </w:rPr>
        <w:br/>
        <w:t>« L'opposition à l'état exécutoire pris en application d'une mesure de consignation ordonnée par l'autorité administrative devant le juge administratif n'a pas de caractère suspensif.</w:t>
      </w:r>
      <w:r w:rsidRPr="00874A27">
        <w:rPr>
          <w:rFonts w:ascii="Arial" w:eastAsia="Times New Roman" w:hAnsi="Arial" w:cs="Arial"/>
          <w:color w:val="000000"/>
          <w:sz w:val="19"/>
          <w:szCs w:val="19"/>
          <w:lang w:eastAsia="fr-FR"/>
        </w:rPr>
        <w:br/>
        <w:t>« Lorsque, en raison de la disparition ou de l'insolvabilité de l'exploitant du site pollué ou du responsable de la pollution, la mise en œuvre des dispositions du premier alinéa du présent I n'a pas permis d'obtenir la réhabilitation du site pollué, l'Etat peut, avec le concours financier éventuel des collectivités territoriales, confier cette réhabilitation à l'Agence de l'environnement et de la maîtrise de l'énergie.</w:t>
      </w:r>
      <w:r w:rsidRPr="00874A27">
        <w:rPr>
          <w:rFonts w:ascii="Arial" w:eastAsia="Times New Roman" w:hAnsi="Arial" w:cs="Arial"/>
          <w:color w:val="000000"/>
          <w:sz w:val="19"/>
          <w:szCs w:val="19"/>
          <w:lang w:eastAsia="fr-FR"/>
        </w:rPr>
        <w:br/>
        <w:t>« Les travaux mentionnés au quatrième alinéa du présent I et, le cas échéant, l'acquisition des immeubles peuvent être déclarés d'utilité publique à la demande de l'Etat. La déclaration d'utilité publique est prononcée après consultation des collectivités territoriales intéressées et enquête publique menée dans les formes prévues par le </w:t>
      </w:r>
      <w:hyperlink r:id="rId701" w:history="1">
        <w:r w:rsidRPr="00874A27">
          <w:rPr>
            <w:rFonts w:ascii="Arial" w:eastAsia="Times New Roman" w:hAnsi="Arial" w:cs="Arial"/>
            <w:color w:val="336699"/>
            <w:sz w:val="19"/>
            <w:szCs w:val="19"/>
            <w:u w:val="single"/>
            <w:lang w:eastAsia="fr-FR"/>
          </w:rPr>
          <w:t>code de l'expropriation pour cause d'utilité publique</w:t>
        </w:r>
      </w:hyperlink>
      <w:r w:rsidRPr="00874A27">
        <w:rPr>
          <w:rFonts w:ascii="Arial" w:eastAsia="Times New Roman" w:hAnsi="Arial" w:cs="Arial"/>
          <w:color w:val="000000"/>
          <w:sz w:val="19"/>
          <w:szCs w:val="19"/>
          <w:lang w:eastAsia="fr-FR"/>
        </w:rPr>
        <w:t>. Lorsque l'une des collectivités territoriales intéressées, le commissaire enquêteur ou la commission d'enquête a émis un avis défavorable, la déclaration d'utilité publique est prononcée par arrêté conjoint du ministre chargé de l'écologie et du ministre chargé de l'urbanisme.</w:t>
      </w:r>
      <w:r w:rsidRPr="00874A27">
        <w:rPr>
          <w:rFonts w:ascii="Arial" w:eastAsia="Times New Roman" w:hAnsi="Arial" w:cs="Arial"/>
          <w:color w:val="000000"/>
          <w:sz w:val="19"/>
          <w:szCs w:val="19"/>
          <w:lang w:eastAsia="fr-FR"/>
        </w:rPr>
        <w:br/>
        <w:t>« II. ― Au sens du I, on entend par responsable, par ordre de priorité :</w:t>
      </w:r>
      <w:r w:rsidRPr="00874A27">
        <w:rPr>
          <w:rFonts w:ascii="Arial" w:eastAsia="Times New Roman" w:hAnsi="Arial" w:cs="Arial"/>
          <w:color w:val="000000"/>
          <w:sz w:val="19"/>
          <w:szCs w:val="19"/>
          <w:lang w:eastAsia="fr-FR"/>
        </w:rPr>
        <w:br/>
        <w:t>« 1° Pour les sols dont la pollution a pour origine une activité mentionnée à l'article L. 165-2, une installation classée pour la protection de l'environnement ou une installation nucléaire de base, le dernier exploitant de l'installation à l'origine de la pollution des sols, ou la personne désignée aux articles L. 512-21 et L. 556-1, chacun pour ses obligations respectives. Pour les sols pollués par une autre origine, le producteur des déchets qui a contribué à l'origine de la pollution des sols ou le détenteur des déchets dont la faute y a contribué ;</w:t>
      </w:r>
      <w:r w:rsidRPr="00874A27">
        <w:rPr>
          <w:rFonts w:ascii="Arial" w:eastAsia="Times New Roman" w:hAnsi="Arial" w:cs="Arial"/>
          <w:color w:val="000000"/>
          <w:sz w:val="19"/>
          <w:szCs w:val="19"/>
          <w:lang w:eastAsia="fr-FR"/>
        </w:rPr>
        <w:br/>
        <w:t>« 2° A titre subsidiaire, en l'absence de responsable au titre du 1°, le propriétaire de l'assise foncière des sols pollués par une activité ou des déchets tels que mentionnés au 1°, s'il est démontré qu'il a fait preuve de négligence ou qu'il n'est pas étranger à cette pollution.</w:t>
      </w:r>
      <w:r w:rsidRPr="00874A27">
        <w:rPr>
          <w:rFonts w:ascii="Arial" w:eastAsia="Times New Roman" w:hAnsi="Arial" w:cs="Arial"/>
          <w:color w:val="000000"/>
          <w:sz w:val="19"/>
          <w:szCs w:val="19"/>
          <w:lang w:eastAsia="fr-FR"/>
        </w:rPr>
        <w:br/>
        <w:t>« III. ― Un décret en Conseil d'Etat définit les modalités d'application du présent article. Il définit notamment l'autorité de police chargée de l'application du présent article.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73" w:name="JORFARTI000028773280"/>
      <w:bookmarkEnd w:id="173"/>
      <w:r w:rsidRPr="00874A27">
        <w:rPr>
          <w:rFonts w:ascii="Arial" w:eastAsia="Times New Roman" w:hAnsi="Arial" w:cs="Arial"/>
          <w:b/>
          <w:bCs/>
          <w:color w:val="000000"/>
          <w:sz w:val="23"/>
          <w:szCs w:val="23"/>
          <w:lang w:eastAsia="fr-FR"/>
        </w:rPr>
        <w:t>Article 174 </w:t>
      </w:r>
      <w:hyperlink r:id="rId702" w:tooltip="En savoir plus sur l'article 174"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code de la construction et de l'habitation est ainsi modifié :</w:t>
      </w:r>
      <w:r w:rsidRPr="00874A27">
        <w:rPr>
          <w:rFonts w:ascii="Arial" w:eastAsia="Times New Roman" w:hAnsi="Arial" w:cs="Arial"/>
          <w:color w:val="000000"/>
          <w:sz w:val="19"/>
          <w:szCs w:val="19"/>
          <w:lang w:eastAsia="fr-FR"/>
        </w:rPr>
        <w:br/>
        <w:t>1° L'article L. 111-5-2 est ainsi modifié :</w:t>
      </w:r>
      <w:r w:rsidRPr="00874A27">
        <w:rPr>
          <w:rFonts w:ascii="Arial" w:eastAsia="Times New Roman" w:hAnsi="Arial" w:cs="Arial"/>
          <w:color w:val="000000"/>
          <w:sz w:val="19"/>
          <w:szCs w:val="19"/>
          <w:lang w:eastAsia="fr-FR"/>
        </w:rPr>
        <w:br/>
        <w:t>a) Après le II, sont insérés des II bis et II ter ainsi rédigés :</w:t>
      </w:r>
      <w:r w:rsidRPr="00874A27">
        <w:rPr>
          <w:rFonts w:ascii="Arial" w:eastAsia="Times New Roman" w:hAnsi="Arial" w:cs="Arial"/>
          <w:color w:val="000000"/>
          <w:sz w:val="19"/>
          <w:szCs w:val="19"/>
          <w:lang w:eastAsia="fr-FR"/>
        </w:rPr>
        <w:br/>
        <w:t>« II bis. ― Toute personne qui construit un bâtiment à usage industriel constituant principalement un lieu de travail et équipé de places de stationnement destinées aux salariés dote une partie de ces places des gaines techniques, câblages et dispositifs de sécurité nécessaires à l'alimentation d'une prise de recharge pour véhicule électrique ou hybride rechargeable.</w:t>
      </w:r>
      <w:r w:rsidRPr="00874A27">
        <w:rPr>
          <w:rFonts w:ascii="Arial" w:eastAsia="Times New Roman" w:hAnsi="Arial" w:cs="Arial"/>
          <w:color w:val="000000"/>
          <w:sz w:val="19"/>
          <w:szCs w:val="19"/>
          <w:lang w:eastAsia="fr-FR"/>
        </w:rPr>
        <w:br/>
        <w:t>« II ter. ― Toute personne qui construit un bâtiment ou un ensemble de bâtiments constituant un ensemble commercial au sens de l'</w:t>
      </w:r>
      <w:hyperlink r:id="rId703" w:history="1">
        <w:r w:rsidRPr="00874A27">
          <w:rPr>
            <w:rFonts w:ascii="Arial" w:eastAsia="Times New Roman" w:hAnsi="Arial" w:cs="Arial"/>
            <w:color w:val="336699"/>
            <w:sz w:val="19"/>
            <w:szCs w:val="19"/>
            <w:u w:val="single"/>
            <w:lang w:eastAsia="fr-FR"/>
          </w:rPr>
          <w:t>article L. 752-3 du code de commerce</w:t>
        </w:r>
      </w:hyperlink>
      <w:r w:rsidRPr="00874A27">
        <w:rPr>
          <w:rFonts w:ascii="Arial" w:eastAsia="Times New Roman" w:hAnsi="Arial" w:cs="Arial"/>
          <w:color w:val="000000"/>
          <w:sz w:val="19"/>
          <w:szCs w:val="19"/>
          <w:lang w:eastAsia="fr-FR"/>
        </w:rPr>
        <w:t> ou accueillant un établissement de spectacles cinématographiques, et équipé de places de stationnement destinées à la clientèle, dote une partie de ces places des gaines techniques, câblages et dispositifs de sécurité nécessaires à l'alimentation d'une prise de recharge pour véhicule électrique ou hybride rechargeable. » ;</w:t>
      </w:r>
      <w:r w:rsidRPr="00874A27">
        <w:rPr>
          <w:rFonts w:ascii="Arial" w:eastAsia="Times New Roman" w:hAnsi="Arial" w:cs="Arial"/>
          <w:color w:val="000000"/>
          <w:sz w:val="19"/>
          <w:szCs w:val="19"/>
          <w:lang w:eastAsia="fr-FR"/>
        </w:rPr>
        <w:br/>
        <w:t>b) Le III est ainsi modifié :</w:t>
      </w:r>
      <w:r w:rsidRPr="00874A27">
        <w:rPr>
          <w:rFonts w:ascii="Arial" w:eastAsia="Times New Roman" w:hAnsi="Arial" w:cs="Arial"/>
          <w:color w:val="000000"/>
          <w:sz w:val="19"/>
          <w:szCs w:val="19"/>
          <w:lang w:eastAsia="fr-FR"/>
        </w:rPr>
        <w:br/>
        <w:t>― après le premier alinéa, il est inséré un alinéa ainsi rédigé :</w:t>
      </w:r>
      <w:r w:rsidRPr="00874A27">
        <w:rPr>
          <w:rFonts w:ascii="Arial" w:eastAsia="Times New Roman" w:hAnsi="Arial" w:cs="Arial"/>
          <w:color w:val="000000"/>
          <w:sz w:val="19"/>
          <w:szCs w:val="19"/>
          <w:lang w:eastAsia="fr-FR"/>
        </w:rPr>
        <w:br/>
        <w:t>« L'obligation prévue aux II bis et II ter s'applique aux bâtiments dont la date de dépôt de permis de construire est postérieure au 1er janvier 2016. » ;</w:t>
      </w:r>
      <w:r w:rsidRPr="00874A27">
        <w:rPr>
          <w:rFonts w:ascii="Arial" w:eastAsia="Times New Roman" w:hAnsi="Arial" w:cs="Arial"/>
          <w:color w:val="000000"/>
          <w:sz w:val="19"/>
          <w:szCs w:val="19"/>
          <w:lang w:eastAsia="fr-FR"/>
        </w:rPr>
        <w:br/>
        <w:t>― au second alinéa, la référence : « au II », est remplacée par les références : « aux II à II ter » et les mots : « catégorie de » sont remplacés par les mots : « catégorie et la taille des » ;</w:t>
      </w:r>
      <w:r w:rsidRPr="00874A27">
        <w:rPr>
          <w:rFonts w:ascii="Arial" w:eastAsia="Times New Roman" w:hAnsi="Arial" w:cs="Arial"/>
          <w:color w:val="000000"/>
          <w:sz w:val="19"/>
          <w:szCs w:val="19"/>
          <w:lang w:eastAsia="fr-FR"/>
        </w:rPr>
        <w:br/>
        <w:t>2° Après l'article L. 111-5-3, il est inséré un article L. 111-5-4 ainsi rédigé :</w:t>
      </w:r>
      <w:r w:rsidRPr="00874A27">
        <w:rPr>
          <w:rFonts w:ascii="Arial" w:eastAsia="Times New Roman" w:hAnsi="Arial" w:cs="Arial"/>
          <w:color w:val="000000"/>
          <w:sz w:val="19"/>
          <w:szCs w:val="19"/>
          <w:lang w:eastAsia="fr-FR"/>
        </w:rPr>
        <w:br/>
        <w:t>« Art. L. 111-5-4. - Toute personne qui procède à des travaux sur des parcs de stationnement équipés de places destinées à la clientèle, annexes d'un bâtiment existant ou d'un ensemble de bâtiments existants constituant un ensemble commercial au sens de l'</w:t>
      </w:r>
      <w:hyperlink r:id="rId704" w:history="1">
        <w:r w:rsidRPr="00874A27">
          <w:rPr>
            <w:rFonts w:ascii="Arial" w:eastAsia="Times New Roman" w:hAnsi="Arial" w:cs="Arial"/>
            <w:color w:val="336699"/>
            <w:sz w:val="19"/>
            <w:szCs w:val="19"/>
            <w:u w:val="single"/>
            <w:lang w:eastAsia="fr-FR"/>
          </w:rPr>
          <w:t>article L. 752-3 du code de commerce</w:t>
        </w:r>
      </w:hyperlink>
      <w:r w:rsidRPr="00874A27">
        <w:rPr>
          <w:rFonts w:ascii="Arial" w:eastAsia="Times New Roman" w:hAnsi="Arial" w:cs="Arial"/>
          <w:color w:val="000000"/>
          <w:sz w:val="19"/>
          <w:szCs w:val="19"/>
          <w:lang w:eastAsia="fr-FR"/>
        </w:rPr>
        <w:t xml:space="preserve"> ou accueillant un établissement de spectacles cinématographiques, dote une partie de ces places des gaines techniques, câblages et dispositifs de sécurité nécessaires à l'alimentation d'une prise de </w:t>
      </w:r>
      <w:r w:rsidRPr="00874A27">
        <w:rPr>
          <w:rFonts w:ascii="Arial" w:eastAsia="Times New Roman" w:hAnsi="Arial" w:cs="Arial"/>
          <w:color w:val="000000"/>
          <w:sz w:val="19"/>
          <w:szCs w:val="19"/>
          <w:lang w:eastAsia="fr-FR"/>
        </w:rPr>
        <w:lastRenderedPageBreak/>
        <w:t>recharge pour véhicule électrique ou hybride rechargeable.</w:t>
      </w:r>
      <w:r w:rsidRPr="00874A27">
        <w:rPr>
          <w:rFonts w:ascii="Arial" w:eastAsia="Times New Roman" w:hAnsi="Arial" w:cs="Arial"/>
          <w:color w:val="000000"/>
          <w:sz w:val="19"/>
          <w:szCs w:val="19"/>
          <w:lang w:eastAsia="fr-FR"/>
        </w:rPr>
        <w:br/>
        <w:t>« Un décret en Conseil d'Etat précise les conditions et les modalités d'application du présent article, notamment en fonction de la nature, de la catégorie et de la taille des bâtiments et des parcs de stationnement concernés, du type de travaux entrepris ainsi que du rapport entre le coût de ces travaux et la valeur des bâtiments. Il fixe également le nombre minimal de places de stationnement qui font l'objet de l'équipement. » ;</w:t>
      </w:r>
      <w:r w:rsidRPr="00874A27">
        <w:rPr>
          <w:rFonts w:ascii="Arial" w:eastAsia="Times New Roman" w:hAnsi="Arial" w:cs="Arial"/>
          <w:color w:val="000000"/>
          <w:sz w:val="19"/>
          <w:szCs w:val="19"/>
          <w:lang w:eastAsia="fr-FR"/>
        </w:rPr>
        <w:br/>
        <w:t>3° L'article L. 111-6-4 est complété par un alinéa ainsi rédigé :</w:t>
      </w:r>
      <w:r w:rsidRPr="00874A27">
        <w:rPr>
          <w:rFonts w:ascii="Arial" w:eastAsia="Times New Roman" w:hAnsi="Arial" w:cs="Arial"/>
          <w:color w:val="000000"/>
          <w:sz w:val="19"/>
          <w:szCs w:val="19"/>
          <w:lang w:eastAsia="fr-FR"/>
        </w:rPr>
        <w:br/>
        <w:t>« Les indivisaires, les copropriétaires et les membres des sociétés de construction peuvent, lorsqu'ils sont occupants, se prévaloir du présent article.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74" w:name="JORFARTI000028773289"/>
      <w:bookmarkEnd w:id="174"/>
      <w:r w:rsidRPr="00874A27">
        <w:rPr>
          <w:rFonts w:ascii="Arial" w:eastAsia="Times New Roman" w:hAnsi="Arial" w:cs="Arial"/>
          <w:b/>
          <w:bCs/>
          <w:color w:val="000000"/>
          <w:sz w:val="23"/>
          <w:szCs w:val="23"/>
          <w:lang w:eastAsia="fr-FR"/>
        </w:rPr>
        <w:t>Article 175 </w:t>
      </w:r>
      <w:hyperlink r:id="rId705" w:tooltip="En savoir plus sur l'article 175"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Dans un délai d'un an à compter de la promulgation de la présente loi, le Gouvernement remet au Parlement un rapport sur l'opportunité et les modalités de mise en œuvre d'un permis de diviser. Ce permis de diviser serait délivré lors de toute division par lots et mise en copropriété d'un immeuble comprenant au moins cinq locaux à usage d'habitation. Le rapport étudie la possibilité de subordonner la délivrance de ce permis à des engagements garantissant la pérennité des situations d'occupation locative existantes.</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75" w:name="JORFARTI000028773290"/>
      <w:bookmarkEnd w:id="175"/>
      <w:r w:rsidRPr="00874A27">
        <w:rPr>
          <w:rFonts w:ascii="Arial" w:eastAsia="Times New Roman" w:hAnsi="Arial" w:cs="Arial"/>
          <w:b/>
          <w:bCs/>
          <w:color w:val="000000"/>
          <w:sz w:val="23"/>
          <w:szCs w:val="23"/>
          <w:lang w:eastAsia="fr-FR"/>
        </w:rPr>
        <w:t>Article 176 </w:t>
      </w:r>
      <w:hyperlink r:id="rId706" w:tooltip="En savoir plus sur l'article 176"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A la fin du </w:t>
      </w:r>
      <w:hyperlink r:id="rId707" w:history="1">
        <w:r w:rsidRPr="00874A27">
          <w:rPr>
            <w:rFonts w:ascii="Arial" w:eastAsia="Times New Roman" w:hAnsi="Arial" w:cs="Arial"/>
            <w:color w:val="336699"/>
            <w:sz w:val="19"/>
            <w:szCs w:val="19"/>
            <w:u w:val="single"/>
            <w:lang w:eastAsia="fr-FR"/>
          </w:rPr>
          <w:t>deuxième alinéa de l'article L. 5112-5 et du troisième alinéa de l'article L. 5112-6 du code général de la propriété des personnes publiques</w:t>
        </w:r>
      </w:hyperlink>
      <w:r w:rsidRPr="00874A27">
        <w:rPr>
          <w:rFonts w:ascii="Arial" w:eastAsia="Times New Roman" w:hAnsi="Arial" w:cs="Arial"/>
          <w:color w:val="000000"/>
          <w:sz w:val="19"/>
          <w:szCs w:val="19"/>
          <w:lang w:eastAsia="fr-FR"/>
        </w:rPr>
        <w:t>, l'année : « 2015 » est remplacée par l'année : « 2016 ».</w:t>
      </w:r>
    </w:p>
    <w:p w:rsidR="00874A27" w:rsidRPr="00874A27" w:rsidRDefault="00874A27" w:rsidP="00874A27">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76" w:name="JORFARTI000028773292"/>
      <w:bookmarkEnd w:id="176"/>
      <w:r w:rsidRPr="00874A27">
        <w:rPr>
          <w:rFonts w:ascii="Arial" w:eastAsia="Times New Roman" w:hAnsi="Arial" w:cs="Arial"/>
          <w:b/>
          <w:bCs/>
          <w:color w:val="000000"/>
          <w:sz w:val="23"/>
          <w:szCs w:val="23"/>
          <w:lang w:eastAsia="fr-FR"/>
        </w:rPr>
        <w:t>Article 177 </w:t>
      </w:r>
      <w:hyperlink r:id="rId708" w:tooltip="En savoir plus sur l'article 177" w:history="1">
        <w:r w:rsidRPr="00874A27">
          <w:rPr>
            <w:rFonts w:ascii="Arial" w:eastAsia="Times New Roman" w:hAnsi="Arial" w:cs="Arial"/>
            <w:b/>
            <w:bCs/>
            <w:color w:val="336699"/>
            <w:sz w:val="23"/>
            <w:szCs w:val="23"/>
            <w:u w:val="single"/>
            <w:lang w:eastAsia="fr-FR"/>
          </w:rPr>
          <w:t>En savoir plus sur cet article...</w:t>
        </w:r>
      </w:hyperlink>
    </w:p>
    <w:p w:rsidR="00874A27" w:rsidRPr="00874A27" w:rsidRDefault="00874A27" w:rsidP="00874A27">
      <w:pPr>
        <w:shd w:val="clear" w:color="auto" w:fill="FFFFFF"/>
        <w:spacing w:line="240" w:lineRule="auto"/>
        <w:ind w:left="360"/>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Sauf disposition législative particulière applicable à la métropole de Lyon mentionnée à l'</w:t>
      </w:r>
      <w:hyperlink r:id="rId709" w:history="1">
        <w:r w:rsidRPr="00874A27">
          <w:rPr>
            <w:rFonts w:ascii="Arial" w:eastAsia="Times New Roman" w:hAnsi="Arial" w:cs="Arial"/>
            <w:color w:val="336699"/>
            <w:sz w:val="19"/>
            <w:szCs w:val="19"/>
            <w:u w:val="single"/>
            <w:lang w:eastAsia="fr-FR"/>
          </w:rPr>
          <w:t>article L. 3611-1 du code général des collectivités territoriales</w:t>
        </w:r>
      </w:hyperlink>
      <w:r w:rsidRPr="00874A27">
        <w:rPr>
          <w:rFonts w:ascii="Arial" w:eastAsia="Times New Roman" w:hAnsi="Arial" w:cs="Arial"/>
          <w:color w:val="000000"/>
          <w:sz w:val="19"/>
          <w:szCs w:val="19"/>
          <w:lang w:eastAsia="fr-FR"/>
        </w:rPr>
        <w:t>, les dispositions issues de la présente loi applicables aux établissements publics de coopération intercommunale, aux présidents d'un établissement public de coopération intercommunale et aux assemblées délibérantes d'un établissement public de coopération intercommunale sont applicables à compter du 1er janvier 2015 respectivement à la métropole de Lyon, à son président et à son conseil lorsqu'elles relèvent du titre IV du livre VI de la troisième partie du code général des collectivités territoriales.</w:t>
      </w:r>
      <w:r w:rsidRPr="00874A27">
        <w:rPr>
          <w:rFonts w:ascii="Arial" w:eastAsia="Times New Roman" w:hAnsi="Arial" w:cs="Arial"/>
          <w:color w:val="000000"/>
          <w:sz w:val="19"/>
          <w:szCs w:val="19"/>
          <w:lang w:eastAsia="fr-FR"/>
        </w:rPr>
        <w:br/>
        <w:t>La présente loi sera exécutée comme loi de l'Etat.</w:t>
      </w:r>
    </w:p>
    <w:p w:rsidR="00874A27" w:rsidRPr="00874A27" w:rsidRDefault="00874A27" w:rsidP="00874A27">
      <w:pPr>
        <w:shd w:val="clear" w:color="auto" w:fill="FFFFFF"/>
        <w:spacing w:before="180" w:after="180" w:line="240" w:lineRule="auto"/>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Fait à Paris, le 24 mars 2014.</w:t>
      </w:r>
    </w:p>
    <w:p w:rsidR="00874A27" w:rsidRPr="00874A27" w:rsidRDefault="00874A27" w:rsidP="00874A27">
      <w:pPr>
        <w:shd w:val="clear" w:color="auto" w:fill="FFFFFF"/>
        <w:spacing w:before="180" w:after="180" w:line="240" w:lineRule="auto"/>
        <w:jc w:val="center"/>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François Hollande</w:t>
      </w:r>
    </w:p>
    <w:p w:rsidR="00874A27" w:rsidRPr="00874A27" w:rsidRDefault="00874A27" w:rsidP="00874A27">
      <w:pPr>
        <w:shd w:val="clear" w:color="auto" w:fill="FFFFFF"/>
        <w:spacing w:before="180" w:after="180" w:line="240" w:lineRule="auto"/>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Par le Président de la République :</w:t>
      </w:r>
    </w:p>
    <w:p w:rsidR="00874A27" w:rsidRPr="00874A27" w:rsidRDefault="00874A27" w:rsidP="00874A27">
      <w:pPr>
        <w:shd w:val="clear" w:color="auto" w:fill="FFFFFF"/>
        <w:spacing w:before="180" w:after="180" w:line="240" w:lineRule="auto"/>
        <w:jc w:val="center"/>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br/>
        <w:t>Le Premier ministre,</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Jean-Marc Ayrault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La garde des sceaux,</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ministre de la justice,</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Christiane Taubira</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Le ministre de l'économie et des finances,</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Pierre Moscovici</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lastRenderedPageBreak/>
        <w:br/>
        <w:t>La ministre de l'égalité des territoires</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et du logement,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Cécile Duflot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Le ministre de l'intérieur,</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Manuel Valls</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La ministre de la réforme de l'Etat,</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de la décentralisation</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et de la fonction publique,</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Marylise Lebranchu</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Le ministre des outre-mer,</w:t>
      </w:r>
      <w:r w:rsidRPr="00874A27">
        <w:rPr>
          <w:rFonts w:ascii="Arial" w:eastAsia="Times New Roman" w:hAnsi="Arial" w:cs="Arial"/>
          <w:color w:val="000000"/>
          <w:sz w:val="19"/>
          <w:szCs w:val="19"/>
          <w:lang w:eastAsia="fr-FR"/>
        </w:rPr>
        <w:br/>
      </w:r>
      <w:r w:rsidRPr="00874A27">
        <w:rPr>
          <w:rFonts w:ascii="Arial" w:eastAsia="Times New Roman" w:hAnsi="Arial" w:cs="Arial"/>
          <w:color w:val="000000"/>
          <w:sz w:val="19"/>
          <w:szCs w:val="19"/>
          <w:lang w:eastAsia="fr-FR"/>
        </w:rPr>
        <w:br/>
        <w:t>Victorin Lurel</w:t>
      </w:r>
    </w:p>
    <w:p w:rsidR="00874A27" w:rsidRPr="00874A27" w:rsidRDefault="00874A27" w:rsidP="00874A27">
      <w:pPr>
        <w:shd w:val="clear" w:color="auto" w:fill="FFFFFF"/>
        <w:spacing w:after="0" w:line="240" w:lineRule="auto"/>
        <w:rPr>
          <w:rFonts w:ascii="Arial" w:eastAsia="Times New Roman" w:hAnsi="Arial" w:cs="Arial"/>
          <w:color w:val="000000"/>
          <w:sz w:val="19"/>
          <w:szCs w:val="19"/>
          <w:lang w:eastAsia="fr-FR"/>
        </w:rPr>
      </w:pPr>
      <w:r w:rsidRPr="00874A27">
        <w:rPr>
          <w:rFonts w:ascii="Arial" w:eastAsia="Times New Roman" w:hAnsi="Arial" w:cs="Arial"/>
          <w:i/>
          <w:iCs/>
          <w:color w:val="808080"/>
          <w:sz w:val="19"/>
          <w:szCs w:val="19"/>
          <w:lang w:eastAsia="fr-FR"/>
        </w:rPr>
        <w:t>(1) Loi n° 2014-366. ― Travaux préparatoires : Assemblée nationale : Projet de loi n° 1179 ; Rapport de M. Daniel Goldberg et Mme Audrey Linkenheld, au nom de la commission des affaires économiques, n° 1329 ; Avis de M. Philippe Bies, au nom de la commission du développement durable, n° 1286 ; Discussion les 10, 11, 12 et 13 septembre 2013 et adoption le 17 septembre 2013 (TA n° 207). Sénat : Projet de loi, adopté par l'Assemblée nationale, n° 851 (2012-2013) ; Rapport de MM. Claude Dilain et Claude Bérit-Débat, au nom de la commission des affaires économiques, n° 65 (2013-2014) ; Avis de Mme Aline Archimbaud, au nom de la commission des affaires sociales, n° 29 (2013-2014) ; Avis de M. Jean-Luc Fichet, au nom de la commission du développement durable, n° 44 (2013-2014) ; Avis de M. René Vandierendonck, au nom de la commission des lois, n° 79 (2013-2014) ; Texte de la commission n° 66 (2013-2014) ; Discussion les 22, 23, 24, 25 et 26 octobre 2013 et adoption le 26 octobre 2013 (TA n° 25, 2013-2014). Assemblée nationale : Projet de loi, modifié par le Sénat, n° 1499 ; Rapport de M. Daniel Goldberg et Mme Audrey Linkenheld, au nom de la commission des affaires économiques, n° 1670 ; Discussion les 14, 15 et 16 janvier 2014 et adoption le 16 janvier 2014 (TA n° 274). Sénat : Projet de loi, adopté avec modifications par l'Assemblée nationale, n° 294 (2013-2014) ; Rapport de MM. Claude Dilain et Claude Bérit-Débat, au nom de la commission des affaires économiques, n° 307 (2013-2014) ; Avis de M. René Vandierendonck, au nom de la commission des lois, n° 301 (2013-2014) ; Texte de la commission n° 308 (2013-2014) ; Discussion les 29, 30 et 31 janvier 2014 et adoption le 31 janvier 2014 (TA n° 72, 2013-2014). Assemblée nationale : Projet de loi, modifié par le Sénat en deuxième lecture, n° 1756 ; Rapport de M. Daniel Goldberg et Mme Audrey Linkenheld, au nom de la commission mixte paritaire, n° 1787 ; Discussion et adoption le 19 février 2014 (TA n° 302). Sénat : Rapport de MM. Claude Dilain et Claude Bérit-Débat, au nom de la commission mixte paritaire, n° 355 (2013-2014) ; Texte de la commission n° 356 (2013-2014) ; Discussion et adoption le 20 février 2014 (TA n° 84, 2013-2014). ― Conseil constitutionnel : Décision n° 2014-691 DC en date du 20 mars 2014, publiée au Journal officiel de ce jour.</w:t>
      </w:r>
    </w:p>
    <w:p w:rsidR="00874A27" w:rsidRPr="00874A27" w:rsidRDefault="00874A27" w:rsidP="00874A27">
      <w:pPr>
        <w:shd w:val="clear" w:color="auto" w:fill="FFFFFF"/>
        <w:spacing w:after="0" w:line="240" w:lineRule="auto"/>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pict>
          <v:rect id="_x0000_i1025" style="width:0;height:.75pt" o:hralign="center" o:hrstd="t" o:hrnoshade="t" o:hr="t" fillcolor="#666" stroked="f"/>
        </w:pict>
      </w:r>
    </w:p>
    <w:p w:rsidR="00874A27" w:rsidRPr="00874A27" w:rsidRDefault="00874A27" w:rsidP="00874A27">
      <w:pPr>
        <w:shd w:val="clear" w:color="auto" w:fill="FFFFFF"/>
        <w:spacing w:after="240" w:line="240" w:lineRule="auto"/>
        <w:jc w:val="center"/>
        <w:rPr>
          <w:rFonts w:ascii="Arial" w:eastAsia="Times New Roman" w:hAnsi="Arial" w:cs="Arial"/>
          <w:color w:val="000000"/>
          <w:sz w:val="19"/>
          <w:szCs w:val="19"/>
          <w:lang w:eastAsia="fr-FR"/>
        </w:rPr>
      </w:pPr>
      <w:r w:rsidRPr="00874A27">
        <w:rPr>
          <w:rFonts w:ascii="Arial" w:eastAsia="Times New Roman" w:hAnsi="Arial" w:cs="Arial"/>
          <w:color w:val="000000"/>
          <w:sz w:val="19"/>
          <w:szCs w:val="19"/>
          <w:lang w:eastAsia="fr-FR"/>
        </w:rPr>
        <w:t>  </w:t>
      </w:r>
      <w:hyperlink r:id="rId710" w:tooltip="Télécharger le document en RTF (poids &lt; 1Mo) - LOI n° 2014-366 du 24 mars 2014" w:history="1">
        <w:r w:rsidRPr="00874A27">
          <w:rPr>
            <w:rFonts w:ascii="Arial" w:eastAsia="Times New Roman" w:hAnsi="Arial" w:cs="Arial"/>
            <w:color w:val="336699"/>
            <w:sz w:val="19"/>
            <w:szCs w:val="19"/>
            <w:u w:val="single"/>
            <w:bdr w:val="single" w:sz="6" w:space="5" w:color="999999" w:frame="1"/>
            <w:lang w:eastAsia="fr-FR"/>
          </w:rPr>
          <w:t>Télécharger le document en RTF (poids &lt; 1Mo)</w:t>
        </w:r>
      </w:hyperlink>
      <w:r w:rsidRPr="00874A27">
        <w:rPr>
          <w:rFonts w:ascii="Arial" w:eastAsia="Times New Roman" w:hAnsi="Arial" w:cs="Arial"/>
          <w:color w:val="000000"/>
          <w:sz w:val="19"/>
          <w:szCs w:val="19"/>
          <w:lang w:eastAsia="fr-FR"/>
        </w:rPr>
        <w:t> </w:t>
      </w:r>
      <w:hyperlink r:id="rId711" w:tooltip="Extrait du Journal officiel électronique authentifié (format: pdf, poids : 4.22 Mo) (Nouvelle fenêtre)" w:history="1">
        <w:r w:rsidRPr="00874A27">
          <w:rPr>
            <w:rFonts w:ascii="Arial" w:eastAsia="Times New Roman" w:hAnsi="Arial" w:cs="Arial"/>
            <w:color w:val="336699"/>
            <w:sz w:val="19"/>
            <w:szCs w:val="19"/>
            <w:u w:val="single"/>
            <w:bdr w:val="single" w:sz="6" w:space="5" w:color="999999" w:frame="1"/>
            <w:lang w:eastAsia="fr-FR"/>
          </w:rPr>
          <w:t>Extrait du Journal officiel électronique authentifié (format: pdf, poids : 4.22 Mo)</w:t>
        </w:r>
      </w:hyperlink>
      <w:r w:rsidRPr="00874A27">
        <w:rPr>
          <w:rFonts w:ascii="Arial" w:eastAsia="Times New Roman" w:hAnsi="Arial" w:cs="Arial"/>
          <w:color w:val="000000"/>
          <w:sz w:val="19"/>
          <w:szCs w:val="19"/>
          <w:lang w:eastAsia="fr-FR"/>
        </w:rPr>
        <w:t> </w:t>
      </w:r>
      <w:hyperlink r:id="rId712" w:tooltip="Télécharger le document en RDF (format: rdf, poids &lt; 1 Mo) - LOI n° 2014-366 du 24 mars 2014 (Nouvelle fenêtre)" w:history="1">
        <w:r w:rsidRPr="00874A27">
          <w:rPr>
            <w:rFonts w:ascii="Arial" w:eastAsia="Times New Roman" w:hAnsi="Arial" w:cs="Arial"/>
            <w:color w:val="336699"/>
            <w:sz w:val="19"/>
            <w:szCs w:val="19"/>
            <w:u w:val="single"/>
            <w:bdr w:val="single" w:sz="6" w:space="5" w:color="999999" w:frame="1"/>
            <w:lang w:eastAsia="fr-FR"/>
          </w:rPr>
          <w:t>Télécharger le document en RDF (format: rdf, poids &lt; 1 Mo)</w:t>
        </w:r>
      </w:hyperlink>
    </w:p>
    <w:p w:rsidR="00C4710E" w:rsidRDefault="00C4710E">
      <w:bookmarkStart w:id="177" w:name="_GoBack"/>
      <w:bookmarkEnd w:id="177"/>
    </w:p>
    <w:sectPr w:rsidR="00C47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8312A"/>
    <w:multiLevelType w:val="multilevel"/>
    <w:tmpl w:val="A1106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03658"/>
    <w:multiLevelType w:val="multilevel"/>
    <w:tmpl w:val="F656C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08150E"/>
    <w:multiLevelType w:val="multilevel"/>
    <w:tmpl w:val="EEAE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06261"/>
    <w:multiLevelType w:val="multilevel"/>
    <w:tmpl w:val="D53A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27"/>
    <w:rsid w:val="00874A27"/>
    <w:rsid w:val="00C471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27800-4053-441A-B3D8-55300BD2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874A27"/>
  </w:style>
  <w:style w:type="paragraph" w:customStyle="1" w:styleId="msonormal0">
    <w:name w:val="msonormal"/>
    <w:basedOn w:val="Normal"/>
    <w:rsid w:val="00874A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74A27"/>
    <w:rPr>
      <w:b/>
      <w:bCs/>
    </w:rPr>
  </w:style>
  <w:style w:type="paragraph" w:styleId="NormalWeb">
    <w:name w:val="Normal (Web)"/>
    <w:basedOn w:val="Normal"/>
    <w:uiPriority w:val="99"/>
    <w:semiHidden/>
    <w:unhideWhenUsed/>
    <w:rsid w:val="00874A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4A27"/>
    <w:rPr>
      <w:color w:val="0000FF"/>
      <w:u w:val="single"/>
    </w:rPr>
  </w:style>
  <w:style w:type="character" w:styleId="Lienhypertextesuivivisit">
    <w:name w:val="FollowedHyperlink"/>
    <w:basedOn w:val="Policepardfaut"/>
    <w:uiPriority w:val="99"/>
    <w:semiHidden/>
    <w:unhideWhenUsed/>
    <w:rsid w:val="00874A27"/>
    <w:rPr>
      <w:color w:val="800080"/>
      <w:u w:val="single"/>
    </w:rPr>
  </w:style>
  <w:style w:type="character" w:styleId="Accentuation">
    <w:name w:val="Emphasis"/>
    <w:basedOn w:val="Policepardfaut"/>
    <w:uiPriority w:val="20"/>
    <w:qFormat/>
    <w:rsid w:val="00874A27"/>
    <w:rPr>
      <w:i/>
      <w:iCs/>
    </w:rPr>
  </w:style>
  <w:style w:type="character" w:customStyle="1" w:styleId="exportrtf">
    <w:name w:val="exportrtf"/>
    <w:basedOn w:val="Policepardfaut"/>
    <w:rsid w:val="00874A27"/>
  </w:style>
  <w:style w:type="character" w:customStyle="1" w:styleId="publisher">
    <w:name w:val="publisher"/>
    <w:basedOn w:val="Policepardfaut"/>
    <w:rsid w:val="00874A27"/>
  </w:style>
  <w:style w:type="character" w:customStyle="1" w:styleId="facsimile">
    <w:name w:val="fac_simile"/>
    <w:basedOn w:val="Policepardfaut"/>
    <w:rsid w:val="00874A27"/>
  </w:style>
  <w:style w:type="character" w:customStyle="1" w:styleId="exportrdf">
    <w:name w:val="exportrdf"/>
    <w:basedOn w:val="Policepardfaut"/>
    <w:rsid w:val="0087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95894">
      <w:bodyDiv w:val="1"/>
      <w:marLeft w:val="0"/>
      <w:marRight w:val="0"/>
      <w:marTop w:val="0"/>
      <w:marBottom w:val="0"/>
      <w:divBdr>
        <w:top w:val="none" w:sz="0" w:space="0" w:color="auto"/>
        <w:left w:val="none" w:sz="0" w:space="0" w:color="auto"/>
        <w:bottom w:val="none" w:sz="0" w:space="0" w:color="auto"/>
        <w:right w:val="none" w:sz="0" w:space="0" w:color="auto"/>
      </w:divBdr>
      <w:divsChild>
        <w:div w:id="1534733548">
          <w:marLeft w:val="0"/>
          <w:marRight w:val="0"/>
          <w:marTop w:val="75"/>
          <w:marBottom w:val="75"/>
          <w:divBdr>
            <w:top w:val="none" w:sz="0" w:space="0" w:color="auto"/>
            <w:left w:val="none" w:sz="0" w:space="0" w:color="auto"/>
            <w:bottom w:val="none" w:sz="0" w:space="0" w:color="auto"/>
            <w:right w:val="none" w:sz="0" w:space="0" w:color="auto"/>
          </w:divBdr>
          <w:divsChild>
            <w:div w:id="1531644928">
              <w:marLeft w:val="0"/>
              <w:marRight w:val="0"/>
              <w:marTop w:val="0"/>
              <w:marBottom w:val="0"/>
              <w:divBdr>
                <w:top w:val="single" w:sz="6" w:space="8" w:color="666666"/>
                <w:left w:val="single" w:sz="6" w:space="8" w:color="666666"/>
                <w:bottom w:val="single" w:sz="6" w:space="8" w:color="666666"/>
                <w:right w:val="single" w:sz="6" w:space="8" w:color="666666"/>
              </w:divBdr>
              <w:divsChild>
                <w:div w:id="1993479809">
                  <w:marLeft w:val="0"/>
                  <w:marRight w:val="0"/>
                  <w:marTop w:val="0"/>
                  <w:marBottom w:val="0"/>
                  <w:divBdr>
                    <w:top w:val="none" w:sz="0" w:space="0" w:color="auto"/>
                    <w:left w:val="none" w:sz="0" w:space="0" w:color="auto"/>
                    <w:bottom w:val="none" w:sz="0" w:space="0" w:color="auto"/>
                    <w:right w:val="none" w:sz="0" w:space="0" w:color="auto"/>
                  </w:divBdr>
                  <w:divsChild>
                    <w:div w:id="599340927">
                      <w:marLeft w:val="0"/>
                      <w:marRight w:val="0"/>
                      <w:marTop w:val="0"/>
                      <w:marBottom w:val="450"/>
                      <w:divBdr>
                        <w:top w:val="none" w:sz="0" w:space="0" w:color="auto"/>
                        <w:left w:val="none" w:sz="0" w:space="0" w:color="auto"/>
                        <w:bottom w:val="none" w:sz="0" w:space="0" w:color="auto"/>
                        <w:right w:val="none" w:sz="0" w:space="0" w:color="auto"/>
                      </w:divBdr>
                      <w:divsChild>
                        <w:div w:id="810631170">
                          <w:marLeft w:val="0"/>
                          <w:marRight w:val="0"/>
                          <w:marTop w:val="0"/>
                          <w:marBottom w:val="450"/>
                          <w:divBdr>
                            <w:top w:val="none" w:sz="0" w:space="0" w:color="auto"/>
                            <w:left w:val="none" w:sz="0" w:space="0" w:color="auto"/>
                            <w:bottom w:val="none" w:sz="0" w:space="0" w:color="auto"/>
                            <w:right w:val="none" w:sz="0" w:space="0" w:color="auto"/>
                          </w:divBdr>
                        </w:div>
                      </w:divsChild>
                    </w:div>
                    <w:div w:id="908878409">
                      <w:marLeft w:val="0"/>
                      <w:marRight w:val="0"/>
                      <w:marTop w:val="0"/>
                      <w:marBottom w:val="0"/>
                      <w:divBdr>
                        <w:top w:val="none" w:sz="0" w:space="0" w:color="auto"/>
                        <w:left w:val="none" w:sz="0" w:space="0" w:color="auto"/>
                        <w:bottom w:val="none" w:sz="0" w:space="0" w:color="auto"/>
                        <w:right w:val="none" w:sz="0" w:space="0" w:color="auto"/>
                      </w:divBdr>
                      <w:divsChild>
                        <w:div w:id="477890786">
                          <w:marLeft w:val="0"/>
                          <w:marRight w:val="0"/>
                          <w:marTop w:val="0"/>
                          <w:marBottom w:val="0"/>
                          <w:divBdr>
                            <w:top w:val="none" w:sz="0" w:space="0" w:color="auto"/>
                            <w:left w:val="none" w:sz="0" w:space="0" w:color="auto"/>
                            <w:bottom w:val="none" w:sz="0" w:space="0" w:color="auto"/>
                            <w:right w:val="none" w:sz="0" w:space="0" w:color="auto"/>
                          </w:divBdr>
                        </w:div>
                        <w:div w:id="275867444">
                          <w:marLeft w:val="0"/>
                          <w:marRight w:val="0"/>
                          <w:marTop w:val="0"/>
                          <w:marBottom w:val="0"/>
                          <w:divBdr>
                            <w:top w:val="none" w:sz="0" w:space="0" w:color="auto"/>
                            <w:left w:val="none" w:sz="0" w:space="0" w:color="auto"/>
                            <w:bottom w:val="none" w:sz="0" w:space="0" w:color="auto"/>
                            <w:right w:val="none" w:sz="0" w:space="0" w:color="auto"/>
                          </w:divBdr>
                          <w:divsChild>
                            <w:div w:id="1730223105">
                              <w:marLeft w:val="0"/>
                              <w:marRight w:val="0"/>
                              <w:marTop w:val="450"/>
                              <w:marBottom w:val="300"/>
                              <w:divBdr>
                                <w:top w:val="none" w:sz="0" w:space="0" w:color="auto"/>
                                <w:left w:val="none" w:sz="0" w:space="0" w:color="auto"/>
                                <w:bottom w:val="none" w:sz="0" w:space="0" w:color="auto"/>
                                <w:right w:val="none" w:sz="0" w:space="0" w:color="auto"/>
                              </w:divBdr>
                            </w:div>
                            <w:div w:id="1501431640">
                              <w:marLeft w:val="0"/>
                              <w:marRight w:val="0"/>
                              <w:marTop w:val="450"/>
                              <w:marBottom w:val="300"/>
                              <w:divBdr>
                                <w:top w:val="none" w:sz="0" w:space="0" w:color="auto"/>
                                <w:left w:val="none" w:sz="0" w:space="0" w:color="auto"/>
                                <w:bottom w:val="none" w:sz="0" w:space="0" w:color="auto"/>
                                <w:right w:val="none" w:sz="0" w:space="0" w:color="auto"/>
                              </w:divBdr>
                            </w:div>
                            <w:div w:id="1463116704">
                              <w:marLeft w:val="0"/>
                              <w:marRight w:val="0"/>
                              <w:marTop w:val="525"/>
                              <w:marBottom w:val="525"/>
                              <w:divBdr>
                                <w:top w:val="none" w:sz="0" w:space="0" w:color="auto"/>
                                <w:left w:val="none" w:sz="0" w:space="0" w:color="auto"/>
                                <w:bottom w:val="none" w:sz="0" w:space="0" w:color="auto"/>
                                <w:right w:val="none" w:sz="0" w:space="0" w:color="auto"/>
                              </w:divBdr>
                            </w:div>
                            <w:div w:id="330648373">
                              <w:marLeft w:val="0"/>
                              <w:marRight w:val="0"/>
                              <w:marTop w:val="525"/>
                              <w:marBottom w:val="525"/>
                              <w:divBdr>
                                <w:top w:val="none" w:sz="0" w:space="0" w:color="auto"/>
                                <w:left w:val="none" w:sz="0" w:space="0" w:color="auto"/>
                                <w:bottom w:val="none" w:sz="0" w:space="0" w:color="auto"/>
                                <w:right w:val="none" w:sz="0" w:space="0" w:color="auto"/>
                              </w:divBdr>
                            </w:div>
                            <w:div w:id="1122571381">
                              <w:marLeft w:val="0"/>
                              <w:marRight w:val="0"/>
                              <w:marTop w:val="525"/>
                              <w:marBottom w:val="525"/>
                              <w:divBdr>
                                <w:top w:val="none" w:sz="0" w:space="0" w:color="auto"/>
                                <w:left w:val="none" w:sz="0" w:space="0" w:color="auto"/>
                                <w:bottom w:val="none" w:sz="0" w:space="0" w:color="auto"/>
                                <w:right w:val="none" w:sz="0" w:space="0" w:color="auto"/>
                              </w:divBdr>
                            </w:div>
                            <w:div w:id="1314334966">
                              <w:marLeft w:val="0"/>
                              <w:marRight w:val="0"/>
                              <w:marTop w:val="525"/>
                              <w:marBottom w:val="525"/>
                              <w:divBdr>
                                <w:top w:val="none" w:sz="0" w:space="0" w:color="auto"/>
                                <w:left w:val="none" w:sz="0" w:space="0" w:color="auto"/>
                                <w:bottom w:val="none" w:sz="0" w:space="0" w:color="auto"/>
                                <w:right w:val="none" w:sz="0" w:space="0" w:color="auto"/>
                              </w:divBdr>
                            </w:div>
                            <w:div w:id="58093659">
                              <w:marLeft w:val="0"/>
                              <w:marRight w:val="0"/>
                              <w:marTop w:val="525"/>
                              <w:marBottom w:val="525"/>
                              <w:divBdr>
                                <w:top w:val="none" w:sz="0" w:space="0" w:color="auto"/>
                                <w:left w:val="none" w:sz="0" w:space="0" w:color="auto"/>
                                <w:bottom w:val="none" w:sz="0" w:space="0" w:color="auto"/>
                                <w:right w:val="none" w:sz="0" w:space="0" w:color="auto"/>
                              </w:divBdr>
                            </w:div>
                            <w:div w:id="2084062148">
                              <w:marLeft w:val="0"/>
                              <w:marRight w:val="0"/>
                              <w:marTop w:val="525"/>
                              <w:marBottom w:val="525"/>
                              <w:divBdr>
                                <w:top w:val="none" w:sz="0" w:space="0" w:color="auto"/>
                                <w:left w:val="none" w:sz="0" w:space="0" w:color="auto"/>
                                <w:bottom w:val="none" w:sz="0" w:space="0" w:color="auto"/>
                                <w:right w:val="none" w:sz="0" w:space="0" w:color="auto"/>
                              </w:divBdr>
                            </w:div>
                            <w:div w:id="1061945754">
                              <w:marLeft w:val="0"/>
                              <w:marRight w:val="0"/>
                              <w:marTop w:val="525"/>
                              <w:marBottom w:val="525"/>
                              <w:divBdr>
                                <w:top w:val="none" w:sz="0" w:space="0" w:color="auto"/>
                                <w:left w:val="none" w:sz="0" w:space="0" w:color="auto"/>
                                <w:bottom w:val="none" w:sz="0" w:space="0" w:color="auto"/>
                                <w:right w:val="none" w:sz="0" w:space="0" w:color="auto"/>
                              </w:divBdr>
                            </w:div>
                            <w:div w:id="1915123601">
                              <w:marLeft w:val="0"/>
                              <w:marRight w:val="0"/>
                              <w:marTop w:val="525"/>
                              <w:marBottom w:val="525"/>
                              <w:divBdr>
                                <w:top w:val="none" w:sz="0" w:space="0" w:color="auto"/>
                                <w:left w:val="none" w:sz="0" w:space="0" w:color="auto"/>
                                <w:bottom w:val="none" w:sz="0" w:space="0" w:color="auto"/>
                                <w:right w:val="none" w:sz="0" w:space="0" w:color="auto"/>
                              </w:divBdr>
                            </w:div>
                            <w:div w:id="352999545">
                              <w:marLeft w:val="0"/>
                              <w:marRight w:val="0"/>
                              <w:marTop w:val="525"/>
                              <w:marBottom w:val="525"/>
                              <w:divBdr>
                                <w:top w:val="none" w:sz="0" w:space="0" w:color="auto"/>
                                <w:left w:val="none" w:sz="0" w:space="0" w:color="auto"/>
                                <w:bottom w:val="none" w:sz="0" w:space="0" w:color="auto"/>
                                <w:right w:val="none" w:sz="0" w:space="0" w:color="auto"/>
                              </w:divBdr>
                            </w:div>
                            <w:div w:id="772898159">
                              <w:marLeft w:val="0"/>
                              <w:marRight w:val="0"/>
                              <w:marTop w:val="525"/>
                              <w:marBottom w:val="525"/>
                              <w:divBdr>
                                <w:top w:val="none" w:sz="0" w:space="0" w:color="auto"/>
                                <w:left w:val="none" w:sz="0" w:space="0" w:color="auto"/>
                                <w:bottom w:val="none" w:sz="0" w:space="0" w:color="auto"/>
                                <w:right w:val="none" w:sz="0" w:space="0" w:color="auto"/>
                              </w:divBdr>
                            </w:div>
                            <w:div w:id="889927336">
                              <w:marLeft w:val="0"/>
                              <w:marRight w:val="0"/>
                              <w:marTop w:val="525"/>
                              <w:marBottom w:val="525"/>
                              <w:divBdr>
                                <w:top w:val="none" w:sz="0" w:space="0" w:color="auto"/>
                                <w:left w:val="none" w:sz="0" w:space="0" w:color="auto"/>
                                <w:bottom w:val="none" w:sz="0" w:space="0" w:color="auto"/>
                                <w:right w:val="none" w:sz="0" w:space="0" w:color="auto"/>
                              </w:divBdr>
                            </w:div>
                            <w:div w:id="1718116633">
                              <w:marLeft w:val="0"/>
                              <w:marRight w:val="0"/>
                              <w:marTop w:val="525"/>
                              <w:marBottom w:val="525"/>
                              <w:divBdr>
                                <w:top w:val="none" w:sz="0" w:space="0" w:color="auto"/>
                                <w:left w:val="none" w:sz="0" w:space="0" w:color="auto"/>
                                <w:bottom w:val="none" w:sz="0" w:space="0" w:color="auto"/>
                                <w:right w:val="none" w:sz="0" w:space="0" w:color="auto"/>
                              </w:divBdr>
                            </w:div>
                            <w:div w:id="670303173">
                              <w:marLeft w:val="0"/>
                              <w:marRight w:val="0"/>
                              <w:marTop w:val="525"/>
                              <w:marBottom w:val="525"/>
                              <w:divBdr>
                                <w:top w:val="none" w:sz="0" w:space="0" w:color="auto"/>
                                <w:left w:val="none" w:sz="0" w:space="0" w:color="auto"/>
                                <w:bottom w:val="none" w:sz="0" w:space="0" w:color="auto"/>
                                <w:right w:val="none" w:sz="0" w:space="0" w:color="auto"/>
                              </w:divBdr>
                            </w:div>
                            <w:div w:id="819804636">
                              <w:marLeft w:val="0"/>
                              <w:marRight w:val="0"/>
                              <w:marTop w:val="525"/>
                              <w:marBottom w:val="525"/>
                              <w:divBdr>
                                <w:top w:val="none" w:sz="0" w:space="0" w:color="auto"/>
                                <w:left w:val="none" w:sz="0" w:space="0" w:color="auto"/>
                                <w:bottom w:val="none" w:sz="0" w:space="0" w:color="auto"/>
                                <w:right w:val="none" w:sz="0" w:space="0" w:color="auto"/>
                              </w:divBdr>
                            </w:div>
                            <w:div w:id="1362129553">
                              <w:marLeft w:val="0"/>
                              <w:marRight w:val="0"/>
                              <w:marTop w:val="525"/>
                              <w:marBottom w:val="525"/>
                              <w:divBdr>
                                <w:top w:val="none" w:sz="0" w:space="0" w:color="auto"/>
                                <w:left w:val="none" w:sz="0" w:space="0" w:color="auto"/>
                                <w:bottom w:val="none" w:sz="0" w:space="0" w:color="auto"/>
                                <w:right w:val="none" w:sz="0" w:space="0" w:color="auto"/>
                              </w:divBdr>
                            </w:div>
                            <w:div w:id="1260213109">
                              <w:marLeft w:val="0"/>
                              <w:marRight w:val="0"/>
                              <w:marTop w:val="525"/>
                              <w:marBottom w:val="525"/>
                              <w:divBdr>
                                <w:top w:val="none" w:sz="0" w:space="0" w:color="auto"/>
                                <w:left w:val="none" w:sz="0" w:space="0" w:color="auto"/>
                                <w:bottom w:val="none" w:sz="0" w:space="0" w:color="auto"/>
                                <w:right w:val="none" w:sz="0" w:space="0" w:color="auto"/>
                              </w:divBdr>
                            </w:div>
                            <w:div w:id="1561745279">
                              <w:marLeft w:val="0"/>
                              <w:marRight w:val="0"/>
                              <w:marTop w:val="525"/>
                              <w:marBottom w:val="525"/>
                              <w:divBdr>
                                <w:top w:val="none" w:sz="0" w:space="0" w:color="auto"/>
                                <w:left w:val="none" w:sz="0" w:space="0" w:color="auto"/>
                                <w:bottom w:val="none" w:sz="0" w:space="0" w:color="auto"/>
                                <w:right w:val="none" w:sz="0" w:space="0" w:color="auto"/>
                              </w:divBdr>
                            </w:div>
                            <w:div w:id="941063123">
                              <w:marLeft w:val="0"/>
                              <w:marRight w:val="0"/>
                              <w:marTop w:val="525"/>
                              <w:marBottom w:val="525"/>
                              <w:divBdr>
                                <w:top w:val="none" w:sz="0" w:space="0" w:color="auto"/>
                                <w:left w:val="none" w:sz="0" w:space="0" w:color="auto"/>
                                <w:bottom w:val="none" w:sz="0" w:space="0" w:color="auto"/>
                                <w:right w:val="none" w:sz="0" w:space="0" w:color="auto"/>
                              </w:divBdr>
                            </w:div>
                            <w:div w:id="96876378">
                              <w:marLeft w:val="0"/>
                              <w:marRight w:val="0"/>
                              <w:marTop w:val="525"/>
                              <w:marBottom w:val="525"/>
                              <w:divBdr>
                                <w:top w:val="none" w:sz="0" w:space="0" w:color="auto"/>
                                <w:left w:val="none" w:sz="0" w:space="0" w:color="auto"/>
                                <w:bottom w:val="none" w:sz="0" w:space="0" w:color="auto"/>
                                <w:right w:val="none" w:sz="0" w:space="0" w:color="auto"/>
                              </w:divBdr>
                            </w:div>
                            <w:div w:id="295109536">
                              <w:marLeft w:val="0"/>
                              <w:marRight w:val="0"/>
                              <w:marTop w:val="525"/>
                              <w:marBottom w:val="525"/>
                              <w:divBdr>
                                <w:top w:val="none" w:sz="0" w:space="0" w:color="auto"/>
                                <w:left w:val="none" w:sz="0" w:space="0" w:color="auto"/>
                                <w:bottom w:val="none" w:sz="0" w:space="0" w:color="auto"/>
                                <w:right w:val="none" w:sz="0" w:space="0" w:color="auto"/>
                              </w:divBdr>
                            </w:div>
                            <w:div w:id="374550789">
                              <w:marLeft w:val="0"/>
                              <w:marRight w:val="0"/>
                              <w:marTop w:val="525"/>
                              <w:marBottom w:val="525"/>
                              <w:divBdr>
                                <w:top w:val="none" w:sz="0" w:space="0" w:color="auto"/>
                                <w:left w:val="none" w:sz="0" w:space="0" w:color="auto"/>
                                <w:bottom w:val="none" w:sz="0" w:space="0" w:color="auto"/>
                                <w:right w:val="none" w:sz="0" w:space="0" w:color="auto"/>
                              </w:divBdr>
                            </w:div>
                            <w:div w:id="613709646">
                              <w:marLeft w:val="0"/>
                              <w:marRight w:val="0"/>
                              <w:marTop w:val="525"/>
                              <w:marBottom w:val="525"/>
                              <w:divBdr>
                                <w:top w:val="none" w:sz="0" w:space="0" w:color="auto"/>
                                <w:left w:val="none" w:sz="0" w:space="0" w:color="auto"/>
                                <w:bottom w:val="none" w:sz="0" w:space="0" w:color="auto"/>
                                <w:right w:val="none" w:sz="0" w:space="0" w:color="auto"/>
                              </w:divBdr>
                            </w:div>
                            <w:div w:id="322202646">
                              <w:marLeft w:val="0"/>
                              <w:marRight w:val="0"/>
                              <w:marTop w:val="450"/>
                              <w:marBottom w:val="300"/>
                              <w:divBdr>
                                <w:top w:val="none" w:sz="0" w:space="0" w:color="auto"/>
                                <w:left w:val="none" w:sz="0" w:space="0" w:color="auto"/>
                                <w:bottom w:val="none" w:sz="0" w:space="0" w:color="auto"/>
                                <w:right w:val="none" w:sz="0" w:space="0" w:color="auto"/>
                              </w:divBdr>
                            </w:div>
                            <w:div w:id="971442619">
                              <w:marLeft w:val="0"/>
                              <w:marRight w:val="0"/>
                              <w:marTop w:val="525"/>
                              <w:marBottom w:val="525"/>
                              <w:divBdr>
                                <w:top w:val="none" w:sz="0" w:space="0" w:color="auto"/>
                                <w:left w:val="none" w:sz="0" w:space="0" w:color="auto"/>
                                <w:bottom w:val="none" w:sz="0" w:space="0" w:color="auto"/>
                                <w:right w:val="none" w:sz="0" w:space="0" w:color="auto"/>
                              </w:divBdr>
                            </w:div>
                            <w:div w:id="1688362295">
                              <w:marLeft w:val="0"/>
                              <w:marRight w:val="0"/>
                              <w:marTop w:val="450"/>
                              <w:marBottom w:val="300"/>
                              <w:divBdr>
                                <w:top w:val="none" w:sz="0" w:space="0" w:color="auto"/>
                                <w:left w:val="none" w:sz="0" w:space="0" w:color="auto"/>
                                <w:bottom w:val="none" w:sz="0" w:space="0" w:color="auto"/>
                                <w:right w:val="none" w:sz="0" w:space="0" w:color="auto"/>
                              </w:divBdr>
                            </w:div>
                            <w:div w:id="997922678">
                              <w:marLeft w:val="0"/>
                              <w:marRight w:val="0"/>
                              <w:marTop w:val="525"/>
                              <w:marBottom w:val="525"/>
                              <w:divBdr>
                                <w:top w:val="none" w:sz="0" w:space="0" w:color="auto"/>
                                <w:left w:val="none" w:sz="0" w:space="0" w:color="auto"/>
                                <w:bottom w:val="none" w:sz="0" w:space="0" w:color="auto"/>
                                <w:right w:val="none" w:sz="0" w:space="0" w:color="auto"/>
                              </w:divBdr>
                            </w:div>
                            <w:div w:id="455877502">
                              <w:marLeft w:val="0"/>
                              <w:marRight w:val="0"/>
                              <w:marTop w:val="450"/>
                              <w:marBottom w:val="300"/>
                              <w:divBdr>
                                <w:top w:val="none" w:sz="0" w:space="0" w:color="auto"/>
                                <w:left w:val="none" w:sz="0" w:space="0" w:color="auto"/>
                                <w:bottom w:val="none" w:sz="0" w:space="0" w:color="auto"/>
                                <w:right w:val="none" w:sz="0" w:space="0" w:color="auto"/>
                              </w:divBdr>
                            </w:div>
                            <w:div w:id="606230393">
                              <w:marLeft w:val="0"/>
                              <w:marRight w:val="0"/>
                              <w:marTop w:val="450"/>
                              <w:marBottom w:val="300"/>
                              <w:divBdr>
                                <w:top w:val="none" w:sz="0" w:space="0" w:color="auto"/>
                                <w:left w:val="none" w:sz="0" w:space="0" w:color="auto"/>
                                <w:bottom w:val="none" w:sz="0" w:space="0" w:color="auto"/>
                                <w:right w:val="none" w:sz="0" w:space="0" w:color="auto"/>
                              </w:divBdr>
                            </w:div>
                            <w:div w:id="1533179168">
                              <w:marLeft w:val="0"/>
                              <w:marRight w:val="0"/>
                              <w:marTop w:val="525"/>
                              <w:marBottom w:val="525"/>
                              <w:divBdr>
                                <w:top w:val="none" w:sz="0" w:space="0" w:color="auto"/>
                                <w:left w:val="none" w:sz="0" w:space="0" w:color="auto"/>
                                <w:bottom w:val="none" w:sz="0" w:space="0" w:color="auto"/>
                                <w:right w:val="none" w:sz="0" w:space="0" w:color="auto"/>
                              </w:divBdr>
                            </w:div>
                            <w:div w:id="69348722">
                              <w:marLeft w:val="0"/>
                              <w:marRight w:val="0"/>
                              <w:marTop w:val="525"/>
                              <w:marBottom w:val="525"/>
                              <w:divBdr>
                                <w:top w:val="none" w:sz="0" w:space="0" w:color="auto"/>
                                <w:left w:val="none" w:sz="0" w:space="0" w:color="auto"/>
                                <w:bottom w:val="none" w:sz="0" w:space="0" w:color="auto"/>
                                <w:right w:val="none" w:sz="0" w:space="0" w:color="auto"/>
                              </w:divBdr>
                            </w:div>
                            <w:div w:id="55933297">
                              <w:marLeft w:val="0"/>
                              <w:marRight w:val="0"/>
                              <w:marTop w:val="525"/>
                              <w:marBottom w:val="525"/>
                              <w:divBdr>
                                <w:top w:val="none" w:sz="0" w:space="0" w:color="auto"/>
                                <w:left w:val="none" w:sz="0" w:space="0" w:color="auto"/>
                                <w:bottom w:val="none" w:sz="0" w:space="0" w:color="auto"/>
                                <w:right w:val="none" w:sz="0" w:space="0" w:color="auto"/>
                              </w:divBdr>
                            </w:div>
                            <w:div w:id="34887479">
                              <w:marLeft w:val="0"/>
                              <w:marRight w:val="0"/>
                              <w:marTop w:val="450"/>
                              <w:marBottom w:val="300"/>
                              <w:divBdr>
                                <w:top w:val="none" w:sz="0" w:space="0" w:color="auto"/>
                                <w:left w:val="none" w:sz="0" w:space="0" w:color="auto"/>
                                <w:bottom w:val="none" w:sz="0" w:space="0" w:color="auto"/>
                                <w:right w:val="none" w:sz="0" w:space="0" w:color="auto"/>
                              </w:divBdr>
                            </w:div>
                            <w:div w:id="2100590015">
                              <w:marLeft w:val="0"/>
                              <w:marRight w:val="0"/>
                              <w:marTop w:val="525"/>
                              <w:marBottom w:val="525"/>
                              <w:divBdr>
                                <w:top w:val="none" w:sz="0" w:space="0" w:color="auto"/>
                                <w:left w:val="none" w:sz="0" w:space="0" w:color="auto"/>
                                <w:bottom w:val="none" w:sz="0" w:space="0" w:color="auto"/>
                                <w:right w:val="none" w:sz="0" w:space="0" w:color="auto"/>
                              </w:divBdr>
                            </w:div>
                            <w:div w:id="1283489725">
                              <w:marLeft w:val="0"/>
                              <w:marRight w:val="0"/>
                              <w:marTop w:val="525"/>
                              <w:marBottom w:val="525"/>
                              <w:divBdr>
                                <w:top w:val="none" w:sz="0" w:space="0" w:color="auto"/>
                                <w:left w:val="none" w:sz="0" w:space="0" w:color="auto"/>
                                <w:bottom w:val="none" w:sz="0" w:space="0" w:color="auto"/>
                                <w:right w:val="none" w:sz="0" w:space="0" w:color="auto"/>
                              </w:divBdr>
                            </w:div>
                            <w:div w:id="465316666">
                              <w:marLeft w:val="0"/>
                              <w:marRight w:val="0"/>
                              <w:marTop w:val="450"/>
                              <w:marBottom w:val="300"/>
                              <w:divBdr>
                                <w:top w:val="none" w:sz="0" w:space="0" w:color="auto"/>
                                <w:left w:val="none" w:sz="0" w:space="0" w:color="auto"/>
                                <w:bottom w:val="none" w:sz="0" w:space="0" w:color="auto"/>
                                <w:right w:val="none" w:sz="0" w:space="0" w:color="auto"/>
                              </w:divBdr>
                            </w:div>
                            <w:div w:id="1823111921">
                              <w:marLeft w:val="0"/>
                              <w:marRight w:val="0"/>
                              <w:marTop w:val="450"/>
                              <w:marBottom w:val="300"/>
                              <w:divBdr>
                                <w:top w:val="none" w:sz="0" w:space="0" w:color="auto"/>
                                <w:left w:val="none" w:sz="0" w:space="0" w:color="auto"/>
                                <w:bottom w:val="none" w:sz="0" w:space="0" w:color="auto"/>
                                <w:right w:val="none" w:sz="0" w:space="0" w:color="auto"/>
                              </w:divBdr>
                            </w:div>
                            <w:div w:id="547302656">
                              <w:marLeft w:val="0"/>
                              <w:marRight w:val="0"/>
                              <w:marTop w:val="450"/>
                              <w:marBottom w:val="300"/>
                              <w:divBdr>
                                <w:top w:val="none" w:sz="0" w:space="0" w:color="auto"/>
                                <w:left w:val="none" w:sz="0" w:space="0" w:color="auto"/>
                                <w:bottom w:val="none" w:sz="0" w:space="0" w:color="auto"/>
                                <w:right w:val="none" w:sz="0" w:space="0" w:color="auto"/>
                              </w:divBdr>
                            </w:div>
                            <w:div w:id="1991597053">
                              <w:marLeft w:val="0"/>
                              <w:marRight w:val="0"/>
                              <w:marTop w:val="525"/>
                              <w:marBottom w:val="525"/>
                              <w:divBdr>
                                <w:top w:val="none" w:sz="0" w:space="0" w:color="auto"/>
                                <w:left w:val="none" w:sz="0" w:space="0" w:color="auto"/>
                                <w:bottom w:val="none" w:sz="0" w:space="0" w:color="auto"/>
                                <w:right w:val="none" w:sz="0" w:space="0" w:color="auto"/>
                              </w:divBdr>
                            </w:div>
                            <w:div w:id="520441023">
                              <w:marLeft w:val="0"/>
                              <w:marRight w:val="0"/>
                              <w:marTop w:val="525"/>
                              <w:marBottom w:val="525"/>
                              <w:divBdr>
                                <w:top w:val="none" w:sz="0" w:space="0" w:color="auto"/>
                                <w:left w:val="none" w:sz="0" w:space="0" w:color="auto"/>
                                <w:bottom w:val="none" w:sz="0" w:space="0" w:color="auto"/>
                                <w:right w:val="none" w:sz="0" w:space="0" w:color="auto"/>
                              </w:divBdr>
                            </w:div>
                            <w:div w:id="1585916488">
                              <w:marLeft w:val="0"/>
                              <w:marRight w:val="0"/>
                              <w:marTop w:val="525"/>
                              <w:marBottom w:val="525"/>
                              <w:divBdr>
                                <w:top w:val="none" w:sz="0" w:space="0" w:color="auto"/>
                                <w:left w:val="none" w:sz="0" w:space="0" w:color="auto"/>
                                <w:bottom w:val="none" w:sz="0" w:space="0" w:color="auto"/>
                                <w:right w:val="none" w:sz="0" w:space="0" w:color="auto"/>
                              </w:divBdr>
                            </w:div>
                            <w:div w:id="495993363">
                              <w:marLeft w:val="0"/>
                              <w:marRight w:val="0"/>
                              <w:marTop w:val="450"/>
                              <w:marBottom w:val="300"/>
                              <w:divBdr>
                                <w:top w:val="none" w:sz="0" w:space="0" w:color="auto"/>
                                <w:left w:val="none" w:sz="0" w:space="0" w:color="auto"/>
                                <w:bottom w:val="none" w:sz="0" w:space="0" w:color="auto"/>
                                <w:right w:val="none" w:sz="0" w:space="0" w:color="auto"/>
                              </w:divBdr>
                            </w:div>
                            <w:div w:id="1946575911">
                              <w:marLeft w:val="0"/>
                              <w:marRight w:val="0"/>
                              <w:marTop w:val="525"/>
                              <w:marBottom w:val="525"/>
                              <w:divBdr>
                                <w:top w:val="none" w:sz="0" w:space="0" w:color="auto"/>
                                <w:left w:val="none" w:sz="0" w:space="0" w:color="auto"/>
                                <w:bottom w:val="none" w:sz="0" w:space="0" w:color="auto"/>
                                <w:right w:val="none" w:sz="0" w:space="0" w:color="auto"/>
                              </w:divBdr>
                            </w:div>
                            <w:div w:id="1088775032">
                              <w:marLeft w:val="0"/>
                              <w:marRight w:val="0"/>
                              <w:marTop w:val="525"/>
                              <w:marBottom w:val="525"/>
                              <w:divBdr>
                                <w:top w:val="none" w:sz="0" w:space="0" w:color="auto"/>
                                <w:left w:val="none" w:sz="0" w:space="0" w:color="auto"/>
                                <w:bottom w:val="none" w:sz="0" w:space="0" w:color="auto"/>
                                <w:right w:val="none" w:sz="0" w:space="0" w:color="auto"/>
                              </w:divBdr>
                            </w:div>
                            <w:div w:id="560025702">
                              <w:marLeft w:val="0"/>
                              <w:marRight w:val="0"/>
                              <w:marTop w:val="525"/>
                              <w:marBottom w:val="525"/>
                              <w:divBdr>
                                <w:top w:val="none" w:sz="0" w:space="0" w:color="auto"/>
                                <w:left w:val="none" w:sz="0" w:space="0" w:color="auto"/>
                                <w:bottom w:val="none" w:sz="0" w:space="0" w:color="auto"/>
                                <w:right w:val="none" w:sz="0" w:space="0" w:color="auto"/>
                              </w:divBdr>
                            </w:div>
                            <w:div w:id="131871954">
                              <w:marLeft w:val="0"/>
                              <w:marRight w:val="0"/>
                              <w:marTop w:val="525"/>
                              <w:marBottom w:val="525"/>
                              <w:divBdr>
                                <w:top w:val="none" w:sz="0" w:space="0" w:color="auto"/>
                                <w:left w:val="none" w:sz="0" w:space="0" w:color="auto"/>
                                <w:bottom w:val="none" w:sz="0" w:space="0" w:color="auto"/>
                                <w:right w:val="none" w:sz="0" w:space="0" w:color="auto"/>
                              </w:divBdr>
                            </w:div>
                            <w:div w:id="1826235227">
                              <w:marLeft w:val="0"/>
                              <w:marRight w:val="0"/>
                              <w:marTop w:val="525"/>
                              <w:marBottom w:val="525"/>
                              <w:divBdr>
                                <w:top w:val="none" w:sz="0" w:space="0" w:color="auto"/>
                                <w:left w:val="none" w:sz="0" w:space="0" w:color="auto"/>
                                <w:bottom w:val="none" w:sz="0" w:space="0" w:color="auto"/>
                                <w:right w:val="none" w:sz="0" w:space="0" w:color="auto"/>
                              </w:divBdr>
                            </w:div>
                            <w:div w:id="1752776529">
                              <w:marLeft w:val="0"/>
                              <w:marRight w:val="0"/>
                              <w:marTop w:val="525"/>
                              <w:marBottom w:val="525"/>
                              <w:divBdr>
                                <w:top w:val="none" w:sz="0" w:space="0" w:color="auto"/>
                                <w:left w:val="none" w:sz="0" w:space="0" w:color="auto"/>
                                <w:bottom w:val="none" w:sz="0" w:space="0" w:color="auto"/>
                                <w:right w:val="none" w:sz="0" w:space="0" w:color="auto"/>
                              </w:divBdr>
                            </w:div>
                            <w:div w:id="294146228">
                              <w:marLeft w:val="0"/>
                              <w:marRight w:val="0"/>
                              <w:marTop w:val="525"/>
                              <w:marBottom w:val="525"/>
                              <w:divBdr>
                                <w:top w:val="none" w:sz="0" w:space="0" w:color="auto"/>
                                <w:left w:val="none" w:sz="0" w:space="0" w:color="auto"/>
                                <w:bottom w:val="none" w:sz="0" w:space="0" w:color="auto"/>
                                <w:right w:val="none" w:sz="0" w:space="0" w:color="auto"/>
                              </w:divBdr>
                            </w:div>
                            <w:div w:id="682168879">
                              <w:marLeft w:val="0"/>
                              <w:marRight w:val="0"/>
                              <w:marTop w:val="450"/>
                              <w:marBottom w:val="300"/>
                              <w:divBdr>
                                <w:top w:val="none" w:sz="0" w:space="0" w:color="auto"/>
                                <w:left w:val="none" w:sz="0" w:space="0" w:color="auto"/>
                                <w:bottom w:val="none" w:sz="0" w:space="0" w:color="auto"/>
                                <w:right w:val="none" w:sz="0" w:space="0" w:color="auto"/>
                              </w:divBdr>
                            </w:div>
                            <w:div w:id="672222773">
                              <w:marLeft w:val="0"/>
                              <w:marRight w:val="0"/>
                              <w:marTop w:val="525"/>
                              <w:marBottom w:val="525"/>
                              <w:divBdr>
                                <w:top w:val="none" w:sz="0" w:space="0" w:color="auto"/>
                                <w:left w:val="none" w:sz="0" w:space="0" w:color="auto"/>
                                <w:bottom w:val="none" w:sz="0" w:space="0" w:color="auto"/>
                                <w:right w:val="none" w:sz="0" w:space="0" w:color="auto"/>
                              </w:divBdr>
                            </w:div>
                            <w:div w:id="1776245787">
                              <w:marLeft w:val="0"/>
                              <w:marRight w:val="0"/>
                              <w:marTop w:val="450"/>
                              <w:marBottom w:val="300"/>
                              <w:divBdr>
                                <w:top w:val="none" w:sz="0" w:space="0" w:color="auto"/>
                                <w:left w:val="none" w:sz="0" w:space="0" w:color="auto"/>
                                <w:bottom w:val="none" w:sz="0" w:space="0" w:color="auto"/>
                                <w:right w:val="none" w:sz="0" w:space="0" w:color="auto"/>
                              </w:divBdr>
                            </w:div>
                            <w:div w:id="415135320">
                              <w:marLeft w:val="0"/>
                              <w:marRight w:val="0"/>
                              <w:marTop w:val="525"/>
                              <w:marBottom w:val="525"/>
                              <w:divBdr>
                                <w:top w:val="none" w:sz="0" w:space="0" w:color="auto"/>
                                <w:left w:val="none" w:sz="0" w:space="0" w:color="auto"/>
                                <w:bottom w:val="none" w:sz="0" w:space="0" w:color="auto"/>
                                <w:right w:val="none" w:sz="0" w:space="0" w:color="auto"/>
                              </w:divBdr>
                            </w:div>
                            <w:div w:id="760372349">
                              <w:marLeft w:val="0"/>
                              <w:marRight w:val="0"/>
                              <w:marTop w:val="525"/>
                              <w:marBottom w:val="525"/>
                              <w:divBdr>
                                <w:top w:val="none" w:sz="0" w:space="0" w:color="auto"/>
                                <w:left w:val="none" w:sz="0" w:space="0" w:color="auto"/>
                                <w:bottom w:val="none" w:sz="0" w:space="0" w:color="auto"/>
                                <w:right w:val="none" w:sz="0" w:space="0" w:color="auto"/>
                              </w:divBdr>
                            </w:div>
                            <w:div w:id="1381049567">
                              <w:marLeft w:val="0"/>
                              <w:marRight w:val="0"/>
                              <w:marTop w:val="525"/>
                              <w:marBottom w:val="525"/>
                              <w:divBdr>
                                <w:top w:val="none" w:sz="0" w:space="0" w:color="auto"/>
                                <w:left w:val="none" w:sz="0" w:space="0" w:color="auto"/>
                                <w:bottom w:val="none" w:sz="0" w:space="0" w:color="auto"/>
                                <w:right w:val="none" w:sz="0" w:space="0" w:color="auto"/>
                              </w:divBdr>
                            </w:div>
                            <w:div w:id="530803699">
                              <w:marLeft w:val="0"/>
                              <w:marRight w:val="0"/>
                              <w:marTop w:val="525"/>
                              <w:marBottom w:val="525"/>
                              <w:divBdr>
                                <w:top w:val="none" w:sz="0" w:space="0" w:color="auto"/>
                                <w:left w:val="none" w:sz="0" w:space="0" w:color="auto"/>
                                <w:bottom w:val="none" w:sz="0" w:space="0" w:color="auto"/>
                                <w:right w:val="none" w:sz="0" w:space="0" w:color="auto"/>
                              </w:divBdr>
                            </w:div>
                            <w:div w:id="2019118793">
                              <w:marLeft w:val="0"/>
                              <w:marRight w:val="0"/>
                              <w:marTop w:val="525"/>
                              <w:marBottom w:val="525"/>
                              <w:divBdr>
                                <w:top w:val="none" w:sz="0" w:space="0" w:color="auto"/>
                                <w:left w:val="none" w:sz="0" w:space="0" w:color="auto"/>
                                <w:bottom w:val="none" w:sz="0" w:space="0" w:color="auto"/>
                                <w:right w:val="none" w:sz="0" w:space="0" w:color="auto"/>
                              </w:divBdr>
                            </w:div>
                            <w:div w:id="198788849">
                              <w:marLeft w:val="0"/>
                              <w:marRight w:val="0"/>
                              <w:marTop w:val="450"/>
                              <w:marBottom w:val="300"/>
                              <w:divBdr>
                                <w:top w:val="none" w:sz="0" w:space="0" w:color="auto"/>
                                <w:left w:val="none" w:sz="0" w:space="0" w:color="auto"/>
                                <w:bottom w:val="none" w:sz="0" w:space="0" w:color="auto"/>
                                <w:right w:val="none" w:sz="0" w:space="0" w:color="auto"/>
                              </w:divBdr>
                            </w:div>
                            <w:div w:id="719398545">
                              <w:marLeft w:val="0"/>
                              <w:marRight w:val="0"/>
                              <w:marTop w:val="525"/>
                              <w:marBottom w:val="525"/>
                              <w:divBdr>
                                <w:top w:val="none" w:sz="0" w:space="0" w:color="auto"/>
                                <w:left w:val="none" w:sz="0" w:space="0" w:color="auto"/>
                                <w:bottom w:val="none" w:sz="0" w:space="0" w:color="auto"/>
                                <w:right w:val="none" w:sz="0" w:space="0" w:color="auto"/>
                              </w:divBdr>
                            </w:div>
                            <w:div w:id="662582236">
                              <w:marLeft w:val="0"/>
                              <w:marRight w:val="0"/>
                              <w:marTop w:val="450"/>
                              <w:marBottom w:val="300"/>
                              <w:divBdr>
                                <w:top w:val="none" w:sz="0" w:space="0" w:color="auto"/>
                                <w:left w:val="none" w:sz="0" w:space="0" w:color="auto"/>
                                <w:bottom w:val="none" w:sz="0" w:space="0" w:color="auto"/>
                                <w:right w:val="none" w:sz="0" w:space="0" w:color="auto"/>
                              </w:divBdr>
                            </w:div>
                            <w:div w:id="572087702">
                              <w:marLeft w:val="0"/>
                              <w:marRight w:val="0"/>
                              <w:marTop w:val="525"/>
                              <w:marBottom w:val="525"/>
                              <w:divBdr>
                                <w:top w:val="none" w:sz="0" w:space="0" w:color="auto"/>
                                <w:left w:val="none" w:sz="0" w:space="0" w:color="auto"/>
                                <w:bottom w:val="none" w:sz="0" w:space="0" w:color="auto"/>
                                <w:right w:val="none" w:sz="0" w:space="0" w:color="auto"/>
                              </w:divBdr>
                            </w:div>
                            <w:div w:id="1861309566">
                              <w:marLeft w:val="0"/>
                              <w:marRight w:val="0"/>
                              <w:marTop w:val="525"/>
                              <w:marBottom w:val="525"/>
                              <w:divBdr>
                                <w:top w:val="none" w:sz="0" w:space="0" w:color="auto"/>
                                <w:left w:val="none" w:sz="0" w:space="0" w:color="auto"/>
                                <w:bottom w:val="none" w:sz="0" w:space="0" w:color="auto"/>
                                <w:right w:val="none" w:sz="0" w:space="0" w:color="auto"/>
                              </w:divBdr>
                            </w:div>
                            <w:div w:id="1955207368">
                              <w:marLeft w:val="0"/>
                              <w:marRight w:val="0"/>
                              <w:marTop w:val="525"/>
                              <w:marBottom w:val="525"/>
                              <w:divBdr>
                                <w:top w:val="none" w:sz="0" w:space="0" w:color="auto"/>
                                <w:left w:val="none" w:sz="0" w:space="0" w:color="auto"/>
                                <w:bottom w:val="none" w:sz="0" w:space="0" w:color="auto"/>
                                <w:right w:val="none" w:sz="0" w:space="0" w:color="auto"/>
                              </w:divBdr>
                            </w:div>
                            <w:div w:id="1210066018">
                              <w:marLeft w:val="0"/>
                              <w:marRight w:val="0"/>
                              <w:marTop w:val="525"/>
                              <w:marBottom w:val="525"/>
                              <w:divBdr>
                                <w:top w:val="none" w:sz="0" w:space="0" w:color="auto"/>
                                <w:left w:val="none" w:sz="0" w:space="0" w:color="auto"/>
                                <w:bottom w:val="none" w:sz="0" w:space="0" w:color="auto"/>
                                <w:right w:val="none" w:sz="0" w:space="0" w:color="auto"/>
                              </w:divBdr>
                            </w:div>
                            <w:div w:id="1506826488">
                              <w:marLeft w:val="0"/>
                              <w:marRight w:val="0"/>
                              <w:marTop w:val="525"/>
                              <w:marBottom w:val="525"/>
                              <w:divBdr>
                                <w:top w:val="none" w:sz="0" w:space="0" w:color="auto"/>
                                <w:left w:val="none" w:sz="0" w:space="0" w:color="auto"/>
                                <w:bottom w:val="none" w:sz="0" w:space="0" w:color="auto"/>
                                <w:right w:val="none" w:sz="0" w:space="0" w:color="auto"/>
                              </w:divBdr>
                            </w:div>
                            <w:div w:id="1777671767">
                              <w:marLeft w:val="0"/>
                              <w:marRight w:val="0"/>
                              <w:marTop w:val="450"/>
                              <w:marBottom w:val="300"/>
                              <w:divBdr>
                                <w:top w:val="none" w:sz="0" w:space="0" w:color="auto"/>
                                <w:left w:val="none" w:sz="0" w:space="0" w:color="auto"/>
                                <w:bottom w:val="none" w:sz="0" w:space="0" w:color="auto"/>
                                <w:right w:val="none" w:sz="0" w:space="0" w:color="auto"/>
                              </w:divBdr>
                            </w:div>
                            <w:div w:id="2135521281">
                              <w:marLeft w:val="0"/>
                              <w:marRight w:val="0"/>
                              <w:marTop w:val="450"/>
                              <w:marBottom w:val="300"/>
                              <w:divBdr>
                                <w:top w:val="none" w:sz="0" w:space="0" w:color="auto"/>
                                <w:left w:val="none" w:sz="0" w:space="0" w:color="auto"/>
                                <w:bottom w:val="none" w:sz="0" w:space="0" w:color="auto"/>
                                <w:right w:val="none" w:sz="0" w:space="0" w:color="auto"/>
                              </w:divBdr>
                            </w:div>
                            <w:div w:id="2099406102">
                              <w:marLeft w:val="0"/>
                              <w:marRight w:val="0"/>
                              <w:marTop w:val="450"/>
                              <w:marBottom w:val="300"/>
                              <w:divBdr>
                                <w:top w:val="none" w:sz="0" w:space="0" w:color="auto"/>
                                <w:left w:val="none" w:sz="0" w:space="0" w:color="auto"/>
                                <w:bottom w:val="none" w:sz="0" w:space="0" w:color="auto"/>
                                <w:right w:val="none" w:sz="0" w:space="0" w:color="auto"/>
                              </w:divBdr>
                            </w:div>
                            <w:div w:id="301620536">
                              <w:marLeft w:val="0"/>
                              <w:marRight w:val="0"/>
                              <w:marTop w:val="525"/>
                              <w:marBottom w:val="525"/>
                              <w:divBdr>
                                <w:top w:val="none" w:sz="0" w:space="0" w:color="auto"/>
                                <w:left w:val="none" w:sz="0" w:space="0" w:color="auto"/>
                                <w:bottom w:val="none" w:sz="0" w:space="0" w:color="auto"/>
                                <w:right w:val="none" w:sz="0" w:space="0" w:color="auto"/>
                              </w:divBdr>
                            </w:div>
                            <w:div w:id="1676692485">
                              <w:marLeft w:val="0"/>
                              <w:marRight w:val="0"/>
                              <w:marTop w:val="525"/>
                              <w:marBottom w:val="525"/>
                              <w:divBdr>
                                <w:top w:val="none" w:sz="0" w:space="0" w:color="auto"/>
                                <w:left w:val="none" w:sz="0" w:space="0" w:color="auto"/>
                                <w:bottom w:val="none" w:sz="0" w:space="0" w:color="auto"/>
                                <w:right w:val="none" w:sz="0" w:space="0" w:color="auto"/>
                              </w:divBdr>
                            </w:div>
                            <w:div w:id="81879867">
                              <w:marLeft w:val="0"/>
                              <w:marRight w:val="0"/>
                              <w:marTop w:val="450"/>
                              <w:marBottom w:val="300"/>
                              <w:divBdr>
                                <w:top w:val="none" w:sz="0" w:space="0" w:color="auto"/>
                                <w:left w:val="none" w:sz="0" w:space="0" w:color="auto"/>
                                <w:bottom w:val="none" w:sz="0" w:space="0" w:color="auto"/>
                                <w:right w:val="none" w:sz="0" w:space="0" w:color="auto"/>
                              </w:divBdr>
                            </w:div>
                            <w:div w:id="65034655">
                              <w:marLeft w:val="0"/>
                              <w:marRight w:val="0"/>
                              <w:marTop w:val="525"/>
                              <w:marBottom w:val="525"/>
                              <w:divBdr>
                                <w:top w:val="none" w:sz="0" w:space="0" w:color="auto"/>
                                <w:left w:val="none" w:sz="0" w:space="0" w:color="auto"/>
                                <w:bottom w:val="none" w:sz="0" w:space="0" w:color="auto"/>
                                <w:right w:val="none" w:sz="0" w:space="0" w:color="auto"/>
                              </w:divBdr>
                            </w:div>
                            <w:div w:id="1163356172">
                              <w:marLeft w:val="0"/>
                              <w:marRight w:val="0"/>
                              <w:marTop w:val="450"/>
                              <w:marBottom w:val="300"/>
                              <w:divBdr>
                                <w:top w:val="none" w:sz="0" w:space="0" w:color="auto"/>
                                <w:left w:val="none" w:sz="0" w:space="0" w:color="auto"/>
                                <w:bottom w:val="none" w:sz="0" w:space="0" w:color="auto"/>
                                <w:right w:val="none" w:sz="0" w:space="0" w:color="auto"/>
                              </w:divBdr>
                            </w:div>
                            <w:div w:id="1105270971">
                              <w:marLeft w:val="0"/>
                              <w:marRight w:val="0"/>
                              <w:marTop w:val="525"/>
                              <w:marBottom w:val="525"/>
                              <w:divBdr>
                                <w:top w:val="none" w:sz="0" w:space="0" w:color="auto"/>
                                <w:left w:val="none" w:sz="0" w:space="0" w:color="auto"/>
                                <w:bottom w:val="none" w:sz="0" w:space="0" w:color="auto"/>
                                <w:right w:val="none" w:sz="0" w:space="0" w:color="auto"/>
                              </w:divBdr>
                            </w:div>
                            <w:div w:id="1502575842">
                              <w:marLeft w:val="0"/>
                              <w:marRight w:val="0"/>
                              <w:marTop w:val="525"/>
                              <w:marBottom w:val="525"/>
                              <w:divBdr>
                                <w:top w:val="none" w:sz="0" w:space="0" w:color="auto"/>
                                <w:left w:val="none" w:sz="0" w:space="0" w:color="auto"/>
                                <w:bottom w:val="none" w:sz="0" w:space="0" w:color="auto"/>
                                <w:right w:val="none" w:sz="0" w:space="0" w:color="auto"/>
                              </w:divBdr>
                            </w:div>
                            <w:div w:id="87779950">
                              <w:marLeft w:val="0"/>
                              <w:marRight w:val="0"/>
                              <w:marTop w:val="525"/>
                              <w:marBottom w:val="525"/>
                              <w:divBdr>
                                <w:top w:val="none" w:sz="0" w:space="0" w:color="auto"/>
                                <w:left w:val="none" w:sz="0" w:space="0" w:color="auto"/>
                                <w:bottom w:val="none" w:sz="0" w:space="0" w:color="auto"/>
                                <w:right w:val="none" w:sz="0" w:space="0" w:color="auto"/>
                              </w:divBdr>
                            </w:div>
                            <w:div w:id="799960609">
                              <w:marLeft w:val="0"/>
                              <w:marRight w:val="0"/>
                              <w:marTop w:val="450"/>
                              <w:marBottom w:val="300"/>
                              <w:divBdr>
                                <w:top w:val="none" w:sz="0" w:space="0" w:color="auto"/>
                                <w:left w:val="none" w:sz="0" w:space="0" w:color="auto"/>
                                <w:bottom w:val="none" w:sz="0" w:space="0" w:color="auto"/>
                                <w:right w:val="none" w:sz="0" w:space="0" w:color="auto"/>
                              </w:divBdr>
                            </w:div>
                            <w:div w:id="62872807">
                              <w:marLeft w:val="0"/>
                              <w:marRight w:val="0"/>
                              <w:marTop w:val="525"/>
                              <w:marBottom w:val="525"/>
                              <w:divBdr>
                                <w:top w:val="none" w:sz="0" w:space="0" w:color="auto"/>
                                <w:left w:val="none" w:sz="0" w:space="0" w:color="auto"/>
                                <w:bottom w:val="none" w:sz="0" w:space="0" w:color="auto"/>
                                <w:right w:val="none" w:sz="0" w:space="0" w:color="auto"/>
                              </w:divBdr>
                            </w:div>
                            <w:div w:id="502747953">
                              <w:marLeft w:val="0"/>
                              <w:marRight w:val="0"/>
                              <w:marTop w:val="525"/>
                              <w:marBottom w:val="525"/>
                              <w:divBdr>
                                <w:top w:val="none" w:sz="0" w:space="0" w:color="auto"/>
                                <w:left w:val="none" w:sz="0" w:space="0" w:color="auto"/>
                                <w:bottom w:val="none" w:sz="0" w:space="0" w:color="auto"/>
                                <w:right w:val="none" w:sz="0" w:space="0" w:color="auto"/>
                              </w:divBdr>
                            </w:div>
                            <w:div w:id="430124056">
                              <w:marLeft w:val="0"/>
                              <w:marRight w:val="0"/>
                              <w:marTop w:val="525"/>
                              <w:marBottom w:val="525"/>
                              <w:divBdr>
                                <w:top w:val="none" w:sz="0" w:space="0" w:color="auto"/>
                                <w:left w:val="none" w:sz="0" w:space="0" w:color="auto"/>
                                <w:bottom w:val="none" w:sz="0" w:space="0" w:color="auto"/>
                                <w:right w:val="none" w:sz="0" w:space="0" w:color="auto"/>
                              </w:divBdr>
                            </w:div>
                            <w:div w:id="962613685">
                              <w:marLeft w:val="0"/>
                              <w:marRight w:val="0"/>
                              <w:marTop w:val="525"/>
                              <w:marBottom w:val="525"/>
                              <w:divBdr>
                                <w:top w:val="none" w:sz="0" w:space="0" w:color="auto"/>
                                <w:left w:val="none" w:sz="0" w:space="0" w:color="auto"/>
                                <w:bottom w:val="none" w:sz="0" w:space="0" w:color="auto"/>
                                <w:right w:val="none" w:sz="0" w:space="0" w:color="auto"/>
                              </w:divBdr>
                            </w:div>
                            <w:div w:id="751778491">
                              <w:marLeft w:val="0"/>
                              <w:marRight w:val="0"/>
                              <w:marTop w:val="525"/>
                              <w:marBottom w:val="525"/>
                              <w:divBdr>
                                <w:top w:val="none" w:sz="0" w:space="0" w:color="auto"/>
                                <w:left w:val="none" w:sz="0" w:space="0" w:color="auto"/>
                                <w:bottom w:val="none" w:sz="0" w:space="0" w:color="auto"/>
                                <w:right w:val="none" w:sz="0" w:space="0" w:color="auto"/>
                              </w:divBdr>
                            </w:div>
                            <w:div w:id="930351676">
                              <w:marLeft w:val="0"/>
                              <w:marRight w:val="0"/>
                              <w:marTop w:val="450"/>
                              <w:marBottom w:val="300"/>
                              <w:divBdr>
                                <w:top w:val="none" w:sz="0" w:space="0" w:color="auto"/>
                                <w:left w:val="none" w:sz="0" w:space="0" w:color="auto"/>
                                <w:bottom w:val="none" w:sz="0" w:space="0" w:color="auto"/>
                                <w:right w:val="none" w:sz="0" w:space="0" w:color="auto"/>
                              </w:divBdr>
                            </w:div>
                            <w:div w:id="914825611">
                              <w:marLeft w:val="0"/>
                              <w:marRight w:val="0"/>
                              <w:marTop w:val="450"/>
                              <w:marBottom w:val="300"/>
                              <w:divBdr>
                                <w:top w:val="none" w:sz="0" w:space="0" w:color="auto"/>
                                <w:left w:val="none" w:sz="0" w:space="0" w:color="auto"/>
                                <w:bottom w:val="none" w:sz="0" w:space="0" w:color="auto"/>
                                <w:right w:val="none" w:sz="0" w:space="0" w:color="auto"/>
                              </w:divBdr>
                            </w:div>
                            <w:div w:id="1752774767">
                              <w:marLeft w:val="0"/>
                              <w:marRight w:val="0"/>
                              <w:marTop w:val="525"/>
                              <w:marBottom w:val="525"/>
                              <w:divBdr>
                                <w:top w:val="none" w:sz="0" w:space="0" w:color="auto"/>
                                <w:left w:val="none" w:sz="0" w:space="0" w:color="auto"/>
                                <w:bottom w:val="none" w:sz="0" w:space="0" w:color="auto"/>
                                <w:right w:val="none" w:sz="0" w:space="0" w:color="auto"/>
                              </w:divBdr>
                            </w:div>
                            <w:div w:id="125202967">
                              <w:marLeft w:val="0"/>
                              <w:marRight w:val="0"/>
                              <w:marTop w:val="450"/>
                              <w:marBottom w:val="300"/>
                              <w:divBdr>
                                <w:top w:val="none" w:sz="0" w:space="0" w:color="auto"/>
                                <w:left w:val="none" w:sz="0" w:space="0" w:color="auto"/>
                                <w:bottom w:val="none" w:sz="0" w:space="0" w:color="auto"/>
                                <w:right w:val="none" w:sz="0" w:space="0" w:color="auto"/>
                              </w:divBdr>
                            </w:div>
                            <w:div w:id="2113088293">
                              <w:marLeft w:val="0"/>
                              <w:marRight w:val="0"/>
                              <w:marTop w:val="525"/>
                              <w:marBottom w:val="525"/>
                              <w:divBdr>
                                <w:top w:val="none" w:sz="0" w:space="0" w:color="auto"/>
                                <w:left w:val="none" w:sz="0" w:space="0" w:color="auto"/>
                                <w:bottom w:val="none" w:sz="0" w:space="0" w:color="auto"/>
                                <w:right w:val="none" w:sz="0" w:space="0" w:color="auto"/>
                              </w:divBdr>
                            </w:div>
                            <w:div w:id="818424571">
                              <w:marLeft w:val="0"/>
                              <w:marRight w:val="0"/>
                              <w:marTop w:val="450"/>
                              <w:marBottom w:val="300"/>
                              <w:divBdr>
                                <w:top w:val="none" w:sz="0" w:space="0" w:color="auto"/>
                                <w:left w:val="none" w:sz="0" w:space="0" w:color="auto"/>
                                <w:bottom w:val="none" w:sz="0" w:space="0" w:color="auto"/>
                                <w:right w:val="none" w:sz="0" w:space="0" w:color="auto"/>
                              </w:divBdr>
                            </w:div>
                            <w:div w:id="2097676788">
                              <w:marLeft w:val="0"/>
                              <w:marRight w:val="0"/>
                              <w:marTop w:val="525"/>
                              <w:marBottom w:val="525"/>
                              <w:divBdr>
                                <w:top w:val="none" w:sz="0" w:space="0" w:color="auto"/>
                                <w:left w:val="none" w:sz="0" w:space="0" w:color="auto"/>
                                <w:bottom w:val="none" w:sz="0" w:space="0" w:color="auto"/>
                                <w:right w:val="none" w:sz="0" w:space="0" w:color="auto"/>
                              </w:divBdr>
                            </w:div>
                            <w:div w:id="1763062627">
                              <w:marLeft w:val="0"/>
                              <w:marRight w:val="0"/>
                              <w:marTop w:val="525"/>
                              <w:marBottom w:val="525"/>
                              <w:divBdr>
                                <w:top w:val="none" w:sz="0" w:space="0" w:color="auto"/>
                                <w:left w:val="none" w:sz="0" w:space="0" w:color="auto"/>
                                <w:bottom w:val="none" w:sz="0" w:space="0" w:color="auto"/>
                                <w:right w:val="none" w:sz="0" w:space="0" w:color="auto"/>
                              </w:divBdr>
                            </w:div>
                            <w:div w:id="104665639">
                              <w:marLeft w:val="0"/>
                              <w:marRight w:val="0"/>
                              <w:marTop w:val="525"/>
                              <w:marBottom w:val="525"/>
                              <w:divBdr>
                                <w:top w:val="none" w:sz="0" w:space="0" w:color="auto"/>
                                <w:left w:val="none" w:sz="0" w:space="0" w:color="auto"/>
                                <w:bottom w:val="none" w:sz="0" w:space="0" w:color="auto"/>
                                <w:right w:val="none" w:sz="0" w:space="0" w:color="auto"/>
                              </w:divBdr>
                            </w:div>
                            <w:div w:id="1764111887">
                              <w:marLeft w:val="0"/>
                              <w:marRight w:val="0"/>
                              <w:marTop w:val="525"/>
                              <w:marBottom w:val="525"/>
                              <w:divBdr>
                                <w:top w:val="none" w:sz="0" w:space="0" w:color="auto"/>
                                <w:left w:val="none" w:sz="0" w:space="0" w:color="auto"/>
                                <w:bottom w:val="none" w:sz="0" w:space="0" w:color="auto"/>
                                <w:right w:val="none" w:sz="0" w:space="0" w:color="auto"/>
                              </w:divBdr>
                            </w:div>
                            <w:div w:id="88627481">
                              <w:marLeft w:val="0"/>
                              <w:marRight w:val="0"/>
                              <w:marTop w:val="525"/>
                              <w:marBottom w:val="525"/>
                              <w:divBdr>
                                <w:top w:val="none" w:sz="0" w:space="0" w:color="auto"/>
                                <w:left w:val="none" w:sz="0" w:space="0" w:color="auto"/>
                                <w:bottom w:val="none" w:sz="0" w:space="0" w:color="auto"/>
                                <w:right w:val="none" w:sz="0" w:space="0" w:color="auto"/>
                              </w:divBdr>
                            </w:div>
                            <w:div w:id="765923667">
                              <w:marLeft w:val="0"/>
                              <w:marRight w:val="0"/>
                              <w:marTop w:val="525"/>
                              <w:marBottom w:val="525"/>
                              <w:divBdr>
                                <w:top w:val="none" w:sz="0" w:space="0" w:color="auto"/>
                                <w:left w:val="none" w:sz="0" w:space="0" w:color="auto"/>
                                <w:bottom w:val="none" w:sz="0" w:space="0" w:color="auto"/>
                                <w:right w:val="none" w:sz="0" w:space="0" w:color="auto"/>
                              </w:divBdr>
                            </w:div>
                            <w:div w:id="861240214">
                              <w:marLeft w:val="0"/>
                              <w:marRight w:val="0"/>
                              <w:marTop w:val="525"/>
                              <w:marBottom w:val="525"/>
                              <w:divBdr>
                                <w:top w:val="none" w:sz="0" w:space="0" w:color="auto"/>
                                <w:left w:val="none" w:sz="0" w:space="0" w:color="auto"/>
                                <w:bottom w:val="none" w:sz="0" w:space="0" w:color="auto"/>
                                <w:right w:val="none" w:sz="0" w:space="0" w:color="auto"/>
                              </w:divBdr>
                            </w:div>
                            <w:div w:id="1481188132">
                              <w:marLeft w:val="0"/>
                              <w:marRight w:val="0"/>
                              <w:marTop w:val="450"/>
                              <w:marBottom w:val="300"/>
                              <w:divBdr>
                                <w:top w:val="none" w:sz="0" w:space="0" w:color="auto"/>
                                <w:left w:val="none" w:sz="0" w:space="0" w:color="auto"/>
                                <w:bottom w:val="none" w:sz="0" w:space="0" w:color="auto"/>
                                <w:right w:val="none" w:sz="0" w:space="0" w:color="auto"/>
                              </w:divBdr>
                            </w:div>
                            <w:div w:id="691734324">
                              <w:marLeft w:val="0"/>
                              <w:marRight w:val="0"/>
                              <w:marTop w:val="525"/>
                              <w:marBottom w:val="525"/>
                              <w:divBdr>
                                <w:top w:val="none" w:sz="0" w:space="0" w:color="auto"/>
                                <w:left w:val="none" w:sz="0" w:space="0" w:color="auto"/>
                                <w:bottom w:val="none" w:sz="0" w:space="0" w:color="auto"/>
                                <w:right w:val="none" w:sz="0" w:space="0" w:color="auto"/>
                              </w:divBdr>
                            </w:div>
                            <w:div w:id="1690334256">
                              <w:marLeft w:val="0"/>
                              <w:marRight w:val="0"/>
                              <w:marTop w:val="525"/>
                              <w:marBottom w:val="525"/>
                              <w:divBdr>
                                <w:top w:val="none" w:sz="0" w:space="0" w:color="auto"/>
                                <w:left w:val="none" w:sz="0" w:space="0" w:color="auto"/>
                                <w:bottom w:val="none" w:sz="0" w:space="0" w:color="auto"/>
                                <w:right w:val="none" w:sz="0" w:space="0" w:color="auto"/>
                              </w:divBdr>
                            </w:div>
                            <w:div w:id="40591616">
                              <w:marLeft w:val="0"/>
                              <w:marRight w:val="0"/>
                              <w:marTop w:val="450"/>
                              <w:marBottom w:val="300"/>
                              <w:divBdr>
                                <w:top w:val="none" w:sz="0" w:space="0" w:color="auto"/>
                                <w:left w:val="none" w:sz="0" w:space="0" w:color="auto"/>
                                <w:bottom w:val="none" w:sz="0" w:space="0" w:color="auto"/>
                                <w:right w:val="none" w:sz="0" w:space="0" w:color="auto"/>
                              </w:divBdr>
                            </w:div>
                            <w:div w:id="1336573372">
                              <w:marLeft w:val="0"/>
                              <w:marRight w:val="0"/>
                              <w:marTop w:val="525"/>
                              <w:marBottom w:val="525"/>
                              <w:divBdr>
                                <w:top w:val="none" w:sz="0" w:space="0" w:color="auto"/>
                                <w:left w:val="none" w:sz="0" w:space="0" w:color="auto"/>
                                <w:bottom w:val="none" w:sz="0" w:space="0" w:color="auto"/>
                                <w:right w:val="none" w:sz="0" w:space="0" w:color="auto"/>
                              </w:divBdr>
                            </w:div>
                            <w:div w:id="884176288">
                              <w:marLeft w:val="0"/>
                              <w:marRight w:val="0"/>
                              <w:marTop w:val="450"/>
                              <w:marBottom w:val="300"/>
                              <w:divBdr>
                                <w:top w:val="none" w:sz="0" w:space="0" w:color="auto"/>
                                <w:left w:val="none" w:sz="0" w:space="0" w:color="auto"/>
                                <w:bottom w:val="none" w:sz="0" w:space="0" w:color="auto"/>
                                <w:right w:val="none" w:sz="0" w:space="0" w:color="auto"/>
                              </w:divBdr>
                            </w:div>
                            <w:div w:id="536166359">
                              <w:marLeft w:val="0"/>
                              <w:marRight w:val="0"/>
                              <w:marTop w:val="450"/>
                              <w:marBottom w:val="300"/>
                              <w:divBdr>
                                <w:top w:val="none" w:sz="0" w:space="0" w:color="auto"/>
                                <w:left w:val="none" w:sz="0" w:space="0" w:color="auto"/>
                                <w:bottom w:val="none" w:sz="0" w:space="0" w:color="auto"/>
                                <w:right w:val="none" w:sz="0" w:space="0" w:color="auto"/>
                              </w:divBdr>
                            </w:div>
                            <w:div w:id="857890246">
                              <w:marLeft w:val="0"/>
                              <w:marRight w:val="0"/>
                              <w:marTop w:val="525"/>
                              <w:marBottom w:val="525"/>
                              <w:divBdr>
                                <w:top w:val="none" w:sz="0" w:space="0" w:color="auto"/>
                                <w:left w:val="none" w:sz="0" w:space="0" w:color="auto"/>
                                <w:bottom w:val="none" w:sz="0" w:space="0" w:color="auto"/>
                                <w:right w:val="none" w:sz="0" w:space="0" w:color="auto"/>
                              </w:divBdr>
                            </w:div>
                            <w:div w:id="632903763">
                              <w:marLeft w:val="0"/>
                              <w:marRight w:val="0"/>
                              <w:marTop w:val="450"/>
                              <w:marBottom w:val="300"/>
                              <w:divBdr>
                                <w:top w:val="none" w:sz="0" w:space="0" w:color="auto"/>
                                <w:left w:val="none" w:sz="0" w:space="0" w:color="auto"/>
                                <w:bottom w:val="none" w:sz="0" w:space="0" w:color="auto"/>
                                <w:right w:val="none" w:sz="0" w:space="0" w:color="auto"/>
                              </w:divBdr>
                            </w:div>
                            <w:div w:id="208297467">
                              <w:marLeft w:val="0"/>
                              <w:marRight w:val="0"/>
                              <w:marTop w:val="525"/>
                              <w:marBottom w:val="525"/>
                              <w:divBdr>
                                <w:top w:val="none" w:sz="0" w:space="0" w:color="auto"/>
                                <w:left w:val="none" w:sz="0" w:space="0" w:color="auto"/>
                                <w:bottom w:val="none" w:sz="0" w:space="0" w:color="auto"/>
                                <w:right w:val="none" w:sz="0" w:space="0" w:color="auto"/>
                              </w:divBdr>
                            </w:div>
                            <w:div w:id="433792313">
                              <w:marLeft w:val="0"/>
                              <w:marRight w:val="0"/>
                              <w:marTop w:val="450"/>
                              <w:marBottom w:val="300"/>
                              <w:divBdr>
                                <w:top w:val="none" w:sz="0" w:space="0" w:color="auto"/>
                                <w:left w:val="none" w:sz="0" w:space="0" w:color="auto"/>
                                <w:bottom w:val="none" w:sz="0" w:space="0" w:color="auto"/>
                                <w:right w:val="none" w:sz="0" w:space="0" w:color="auto"/>
                              </w:divBdr>
                            </w:div>
                            <w:div w:id="341323407">
                              <w:marLeft w:val="0"/>
                              <w:marRight w:val="0"/>
                              <w:marTop w:val="525"/>
                              <w:marBottom w:val="525"/>
                              <w:divBdr>
                                <w:top w:val="none" w:sz="0" w:space="0" w:color="auto"/>
                                <w:left w:val="none" w:sz="0" w:space="0" w:color="auto"/>
                                <w:bottom w:val="none" w:sz="0" w:space="0" w:color="auto"/>
                                <w:right w:val="none" w:sz="0" w:space="0" w:color="auto"/>
                              </w:divBdr>
                            </w:div>
                            <w:div w:id="724910352">
                              <w:marLeft w:val="0"/>
                              <w:marRight w:val="0"/>
                              <w:marTop w:val="525"/>
                              <w:marBottom w:val="525"/>
                              <w:divBdr>
                                <w:top w:val="none" w:sz="0" w:space="0" w:color="auto"/>
                                <w:left w:val="none" w:sz="0" w:space="0" w:color="auto"/>
                                <w:bottom w:val="none" w:sz="0" w:space="0" w:color="auto"/>
                                <w:right w:val="none" w:sz="0" w:space="0" w:color="auto"/>
                              </w:divBdr>
                            </w:div>
                            <w:div w:id="261113671">
                              <w:marLeft w:val="0"/>
                              <w:marRight w:val="0"/>
                              <w:marTop w:val="525"/>
                              <w:marBottom w:val="525"/>
                              <w:divBdr>
                                <w:top w:val="none" w:sz="0" w:space="0" w:color="auto"/>
                                <w:left w:val="none" w:sz="0" w:space="0" w:color="auto"/>
                                <w:bottom w:val="none" w:sz="0" w:space="0" w:color="auto"/>
                                <w:right w:val="none" w:sz="0" w:space="0" w:color="auto"/>
                              </w:divBdr>
                            </w:div>
                            <w:div w:id="130365221">
                              <w:marLeft w:val="0"/>
                              <w:marRight w:val="0"/>
                              <w:marTop w:val="525"/>
                              <w:marBottom w:val="525"/>
                              <w:divBdr>
                                <w:top w:val="none" w:sz="0" w:space="0" w:color="auto"/>
                                <w:left w:val="none" w:sz="0" w:space="0" w:color="auto"/>
                                <w:bottom w:val="none" w:sz="0" w:space="0" w:color="auto"/>
                                <w:right w:val="none" w:sz="0" w:space="0" w:color="auto"/>
                              </w:divBdr>
                            </w:div>
                            <w:div w:id="222637916">
                              <w:marLeft w:val="0"/>
                              <w:marRight w:val="0"/>
                              <w:marTop w:val="525"/>
                              <w:marBottom w:val="525"/>
                              <w:divBdr>
                                <w:top w:val="none" w:sz="0" w:space="0" w:color="auto"/>
                                <w:left w:val="none" w:sz="0" w:space="0" w:color="auto"/>
                                <w:bottom w:val="none" w:sz="0" w:space="0" w:color="auto"/>
                                <w:right w:val="none" w:sz="0" w:space="0" w:color="auto"/>
                              </w:divBdr>
                            </w:div>
                            <w:div w:id="1698509677">
                              <w:marLeft w:val="0"/>
                              <w:marRight w:val="0"/>
                              <w:marTop w:val="525"/>
                              <w:marBottom w:val="525"/>
                              <w:divBdr>
                                <w:top w:val="none" w:sz="0" w:space="0" w:color="auto"/>
                                <w:left w:val="none" w:sz="0" w:space="0" w:color="auto"/>
                                <w:bottom w:val="none" w:sz="0" w:space="0" w:color="auto"/>
                                <w:right w:val="none" w:sz="0" w:space="0" w:color="auto"/>
                              </w:divBdr>
                            </w:div>
                            <w:div w:id="1949384647">
                              <w:marLeft w:val="0"/>
                              <w:marRight w:val="0"/>
                              <w:marTop w:val="525"/>
                              <w:marBottom w:val="525"/>
                              <w:divBdr>
                                <w:top w:val="none" w:sz="0" w:space="0" w:color="auto"/>
                                <w:left w:val="none" w:sz="0" w:space="0" w:color="auto"/>
                                <w:bottom w:val="none" w:sz="0" w:space="0" w:color="auto"/>
                                <w:right w:val="none" w:sz="0" w:space="0" w:color="auto"/>
                              </w:divBdr>
                            </w:div>
                            <w:div w:id="1606882170">
                              <w:marLeft w:val="0"/>
                              <w:marRight w:val="0"/>
                              <w:marTop w:val="525"/>
                              <w:marBottom w:val="525"/>
                              <w:divBdr>
                                <w:top w:val="none" w:sz="0" w:space="0" w:color="auto"/>
                                <w:left w:val="none" w:sz="0" w:space="0" w:color="auto"/>
                                <w:bottom w:val="none" w:sz="0" w:space="0" w:color="auto"/>
                                <w:right w:val="none" w:sz="0" w:space="0" w:color="auto"/>
                              </w:divBdr>
                            </w:div>
                            <w:div w:id="845360347">
                              <w:marLeft w:val="0"/>
                              <w:marRight w:val="0"/>
                              <w:marTop w:val="525"/>
                              <w:marBottom w:val="525"/>
                              <w:divBdr>
                                <w:top w:val="none" w:sz="0" w:space="0" w:color="auto"/>
                                <w:left w:val="none" w:sz="0" w:space="0" w:color="auto"/>
                                <w:bottom w:val="none" w:sz="0" w:space="0" w:color="auto"/>
                                <w:right w:val="none" w:sz="0" w:space="0" w:color="auto"/>
                              </w:divBdr>
                            </w:div>
                            <w:div w:id="1704477524">
                              <w:marLeft w:val="0"/>
                              <w:marRight w:val="0"/>
                              <w:marTop w:val="525"/>
                              <w:marBottom w:val="525"/>
                              <w:divBdr>
                                <w:top w:val="none" w:sz="0" w:space="0" w:color="auto"/>
                                <w:left w:val="none" w:sz="0" w:space="0" w:color="auto"/>
                                <w:bottom w:val="none" w:sz="0" w:space="0" w:color="auto"/>
                                <w:right w:val="none" w:sz="0" w:space="0" w:color="auto"/>
                              </w:divBdr>
                            </w:div>
                            <w:div w:id="252513114">
                              <w:marLeft w:val="0"/>
                              <w:marRight w:val="0"/>
                              <w:marTop w:val="525"/>
                              <w:marBottom w:val="525"/>
                              <w:divBdr>
                                <w:top w:val="none" w:sz="0" w:space="0" w:color="auto"/>
                                <w:left w:val="none" w:sz="0" w:space="0" w:color="auto"/>
                                <w:bottom w:val="none" w:sz="0" w:space="0" w:color="auto"/>
                                <w:right w:val="none" w:sz="0" w:space="0" w:color="auto"/>
                              </w:divBdr>
                            </w:div>
                            <w:div w:id="371804227">
                              <w:marLeft w:val="0"/>
                              <w:marRight w:val="0"/>
                              <w:marTop w:val="525"/>
                              <w:marBottom w:val="525"/>
                              <w:divBdr>
                                <w:top w:val="none" w:sz="0" w:space="0" w:color="auto"/>
                                <w:left w:val="none" w:sz="0" w:space="0" w:color="auto"/>
                                <w:bottom w:val="none" w:sz="0" w:space="0" w:color="auto"/>
                                <w:right w:val="none" w:sz="0" w:space="0" w:color="auto"/>
                              </w:divBdr>
                            </w:div>
                            <w:div w:id="1168401748">
                              <w:marLeft w:val="0"/>
                              <w:marRight w:val="0"/>
                              <w:marTop w:val="525"/>
                              <w:marBottom w:val="525"/>
                              <w:divBdr>
                                <w:top w:val="none" w:sz="0" w:space="0" w:color="auto"/>
                                <w:left w:val="none" w:sz="0" w:space="0" w:color="auto"/>
                                <w:bottom w:val="none" w:sz="0" w:space="0" w:color="auto"/>
                                <w:right w:val="none" w:sz="0" w:space="0" w:color="auto"/>
                              </w:divBdr>
                            </w:div>
                            <w:div w:id="15472420">
                              <w:marLeft w:val="0"/>
                              <w:marRight w:val="0"/>
                              <w:marTop w:val="525"/>
                              <w:marBottom w:val="525"/>
                              <w:divBdr>
                                <w:top w:val="none" w:sz="0" w:space="0" w:color="auto"/>
                                <w:left w:val="none" w:sz="0" w:space="0" w:color="auto"/>
                                <w:bottom w:val="none" w:sz="0" w:space="0" w:color="auto"/>
                                <w:right w:val="none" w:sz="0" w:space="0" w:color="auto"/>
                              </w:divBdr>
                            </w:div>
                            <w:div w:id="1392117707">
                              <w:marLeft w:val="0"/>
                              <w:marRight w:val="0"/>
                              <w:marTop w:val="525"/>
                              <w:marBottom w:val="525"/>
                              <w:divBdr>
                                <w:top w:val="none" w:sz="0" w:space="0" w:color="auto"/>
                                <w:left w:val="none" w:sz="0" w:space="0" w:color="auto"/>
                                <w:bottom w:val="none" w:sz="0" w:space="0" w:color="auto"/>
                                <w:right w:val="none" w:sz="0" w:space="0" w:color="auto"/>
                              </w:divBdr>
                            </w:div>
                            <w:div w:id="191695935">
                              <w:marLeft w:val="0"/>
                              <w:marRight w:val="0"/>
                              <w:marTop w:val="525"/>
                              <w:marBottom w:val="525"/>
                              <w:divBdr>
                                <w:top w:val="none" w:sz="0" w:space="0" w:color="auto"/>
                                <w:left w:val="none" w:sz="0" w:space="0" w:color="auto"/>
                                <w:bottom w:val="none" w:sz="0" w:space="0" w:color="auto"/>
                                <w:right w:val="none" w:sz="0" w:space="0" w:color="auto"/>
                              </w:divBdr>
                            </w:div>
                            <w:div w:id="1614750579">
                              <w:marLeft w:val="0"/>
                              <w:marRight w:val="0"/>
                              <w:marTop w:val="525"/>
                              <w:marBottom w:val="525"/>
                              <w:divBdr>
                                <w:top w:val="none" w:sz="0" w:space="0" w:color="auto"/>
                                <w:left w:val="none" w:sz="0" w:space="0" w:color="auto"/>
                                <w:bottom w:val="none" w:sz="0" w:space="0" w:color="auto"/>
                                <w:right w:val="none" w:sz="0" w:space="0" w:color="auto"/>
                              </w:divBdr>
                            </w:div>
                            <w:div w:id="55126765">
                              <w:marLeft w:val="0"/>
                              <w:marRight w:val="0"/>
                              <w:marTop w:val="525"/>
                              <w:marBottom w:val="525"/>
                              <w:divBdr>
                                <w:top w:val="none" w:sz="0" w:space="0" w:color="auto"/>
                                <w:left w:val="none" w:sz="0" w:space="0" w:color="auto"/>
                                <w:bottom w:val="none" w:sz="0" w:space="0" w:color="auto"/>
                                <w:right w:val="none" w:sz="0" w:space="0" w:color="auto"/>
                              </w:divBdr>
                            </w:div>
                            <w:div w:id="1355232458">
                              <w:marLeft w:val="0"/>
                              <w:marRight w:val="0"/>
                              <w:marTop w:val="525"/>
                              <w:marBottom w:val="525"/>
                              <w:divBdr>
                                <w:top w:val="none" w:sz="0" w:space="0" w:color="auto"/>
                                <w:left w:val="none" w:sz="0" w:space="0" w:color="auto"/>
                                <w:bottom w:val="none" w:sz="0" w:space="0" w:color="auto"/>
                                <w:right w:val="none" w:sz="0" w:space="0" w:color="auto"/>
                              </w:divBdr>
                            </w:div>
                            <w:div w:id="835799787">
                              <w:marLeft w:val="0"/>
                              <w:marRight w:val="0"/>
                              <w:marTop w:val="450"/>
                              <w:marBottom w:val="300"/>
                              <w:divBdr>
                                <w:top w:val="none" w:sz="0" w:space="0" w:color="auto"/>
                                <w:left w:val="none" w:sz="0" w:space="0" w:color="auto"/>
                                <w:bottom w:val="none" w:sz="0" w:space="0" w:color="auto"/>
                                <w:right w:val="none" w:sz="0" w:space="0" w:color="auto"/>
                              </w:divBdr>
                            </w:div>
                            <w:div w:id="1185747872">
                              <w:marLeft w:val="0"/>
                              <w:marRight w:val="0"/>
                              <w:marTop w:val="450"/>
                              <w:marBottom w:val="300"/>
                              <w:divBdr>
                                <w:top w:val="none" w:sz="0" w:space="0" w:color="auto"/>
                                <w:left w:val="none" w:sz="0" w:space="0" w:color="auto"/>
                                <w:bottom w:val="none" w:sz="0" w:space="0" w:color="auto"/>
                                <w:right w:val="none" w:sz="0" w:space="0" w:color="auto"/>
                              </w:divBdr>
                            </w:div>
                            <w:div w:id="1728914305">
                              <w:marLeft w:val="0"/>
                              <w:marRight w:val="0"/>
                              <w:marTop w:val="525"/>
                              <w:marBottom w:val="525"/>
                              <w:divBdr>
                                <w:top w:val="none" w:sz="0" w:space="0" w:color="auto"/>
                                <w:left w:val="none" w:sz="0" w:space="0" w:color="auto"/>
                                <w:bottom w:val="none" w:sz="0" w:space="0" w:color="auto"/>
                                <w:right w:val="none" w:sz="0" w:space="0" w:color="auto"/>
                              </w:divBdr>
                            </w:div>
                            <w:div w:id="249461688">
                              <w:marLeft w:val="0"/>
                              <w:marRight w:val="0"/>
                              <w:marTop w:val="525"/>
                              <w:marBottom w:val="525"/>
                              <w:divBdr>
                                <w:top w:val="none" w:sz="0" w:space="0" w:color="auto"/>
                                <w:left w:val="none" w:sz="0" w:space="0" w:color="auto"/>
                                <w:bottom w:val="none" w:sz="0" w:space="0" w:color="auto"/>
                                <w:right w:val="none" w:sz="0" w:space="0" w:color="auto"/>
                              </w:divBdr>
                            </w:div>
                            <w:div w:id="2085639827">
                              <w:marLeft w:val="0"/>
                              <w:marRight w:val="0"/>
                              <w:marTop w:val="525"/>
                              <w:marBottom w:val="525"/>
                              <w:divBdr>
                                <w:top w:val="none" w:sz="0" w:space="0" w:color="auto"/>
                                <w:left w:val="none" w:sz="0" w:space="0" w:color="auto"/>
                                <w:bottom w:val="none" w:sz="0" w:space="0" w:color="auto"/>
                                <w:right w:val="none" w:sz="0" w:space="0" w:color="auto"/>
                              </w:divBdr>
                            </w:div>
                            <w:div w:id="1722751308">
                              <w:marLeft w:val="0"/>
                              <w:marRight w:val="0"/>
                              <w:marTop w:val="525"/>
                              <w:marBottom w:val="525"/>
                              <w:divBdr>
                                <w:top w:val="none" w:sz="0" w:space="0" w:color="auto"/>
                                <w:left w:val="none" w:sz="0" w:space="0" w:color="auto"/>
                                <w:bottom w:val="none" w:sz="0" w:space="0" w:color="auto"/>
                                <w:right w:val="none" w:sz="0" w:space="0" w:color="auto"/>
                              </w:divBdr>
                            </w:div>
                            <w:div w:id="452483288">
                              <w:marLeft w:val="0"/>
                              <w:marRight w:val="0"/>
                              <w:marTop w:val="525"/>
                              <w:marBottom w:val="525"/>
                              <w:divBdr>
                                <w:top w:val="none" w:sz="0" w:space="0" w:color="auto"/>
                                <w:left w:val="none" w:sz="0" w:space="0" w:color="auto"/>
                                <w:bottom w:val="none" w:sz="0" w:space="0" w:color="auto"/>
                                <w:right w:val="none" w:sz="0" w:space="0" w:color="auto"/>
                              </w:divBdr>
                            </w:div>
                            <w:div w:id="84889557">
                              <w:marLeft w:val="0"/>
                              <w:marRight w:val="0"/>
                              <w:marTop w:val="525"/>
                              <w:marBottom w:val="525"/>
                              <w:divBdr>
                                <w:top w:val="none" w:sz="0" w:space="0" w:color="auto"/>
                                <w:left w:val="none" w:sz="0" w:space="0" w:color="auto"/>
                                <w:bottom w:val="none" w:sz="0" w:space="0" w:color="auto"/>
                                <w:right w:val="none" w:sz="0" w:space="0" w:color="auto"/>
                              </w:divBdr>
                            </w:div>
                            <w:div w:id="995455949">
                              <w:marLeft w:val="0"/>
                              <w:marRight w:val="0"/>
                              <w:marTop w:val="450"/>
                              <w:marBottom w:val="300"/>
                              <w:divBdr>
                                <w:top w:val="none" w:sz="0" w:space="0" w:color="auto"/>
                                <w:left w:val="none" w:sz="0" w:space="0" w:color="auto"/>
                                <w:bottom w:val="none" w:sz="0" w:space="0" w:color="auto"/>
                                <w:right w:val="none" w:sz="0" w:space="0" w:color="auto"/>
                              </w:divBdr>
                            </w:div>
                            <w:div w:id="449055380">
                              <w:marLeft w:val="0"/>
                              <w:marRight w:val="0"/>
                              <w:marTop w:val="525"/>
                              <w:marBottom w:val="525"/>
                              <w:divBdr>
                                <w:top w:val="none" w:sz="0" w:space="0" w:color="auto"/>
                                <w:left w:val="none" w:sz="0" w:space="0" w:color="auto"/>
                                <w:bottom w:val="none" w:sz="0" w:space="0" w:color="auto"/>
                                <w:right w:val="none" w:sz="0" w:space="0" w:color="auto"/>
                              </w:divBdr>
                            </w:div>
                            <w:div w:id="1306202447">
                              <w:marLeft w:val="0"/>
                              <w:marRight w:val="0"/>
                              <w:marTop w:val="450"/>
                              <w:marBottom w:val="300"/>
                              <w:divBdr>
                                <w:top w:val="none" w:sz="0" w:space="0" w:color="auto"/>
                                <w:left w:val="none" w:sz="0" w:space="0" w:color="auto"/>
                                <w:bottom w:val="none" w:sz="0" w:space="0" w:color="auto"/>
                                <w:right w:val="none" w:sz="0" w:space="0" w:color="auto"/>
                              </w:divBdr>
                            </w:div>
                            <w:div w:id="146558166">
                              <w:marLeft w:val="0"/>
                              <w:marRight w:val="0"/>
                              <w:marTop w:val="450"/>
                              <w:marBottom w:val="300"/>
                              <w:divBdr>
                                <w:top w:val="none" w:sz="0" w:space="0" w:color="auto"/>
                                <w:left w:val="none" w:sz="0" w:space="0" w:color="auto"/>
                                <w:bottom w:val="none" w:sz="0" w:space="0" w:color="auto"/>
                                <w:right w:val="none" w:sz="0" w:space="0" w:color="auto"/>
                              </w:divBdr>
                            </w:div>
                            <w:div w:id="1218543268">
                              <w:marLeft w:val="0"/>
                              <w:marRight w:val="0"/>
                              <w:marTop w:val="525"/>
                              <w:marBottom w:val="525"/>
                              <w:divBdr>
                                <w:top w:val="none" w:sz="0" w:space="0" w:color="auto"/>
                                <w:left w:val="none" w:sz="0" w:space="0" w:color="auto"/>
                                <w:bottom w:val="none" w:sz="0" w:space="0" w:color="auto"/>
                                <w:right w:val="none" w:sz="0" w:space="0" w:color="auto"/>
                              </w:divBdr>
                            </w:div>
                            <w:div w:id="218059160">
                              <w:marLeft w:val="0"/>
                              <w:marRight w:val="0"/>
                              <w:marTop w:val="525"/>
                              <w:marBottom w:val="525"/>
                              <w:divBdr>
                                <w:top w:val="none" w:sz="0" w:space="0" w:color="auto"/>
                                <w:left w:val="none" w:sz="0" w:space="0" w:color="auto"/>
                                <w:bottom w:val="none" w:sz="0" w:space="0" w:color="auto"/>
                                <w:right w:val="none" w:sz="0" w:space="0" w:color="auto"/>
                              </w:divBdr>
                            </w:div>
                            <w:div w:id="1161889043">
                              <w:marLeft w:val="0"/>
                              <w:marRight w:val="0"/>
                              <w:marTop w:val="525"/>
                              <w:marBottom w:val="525"/>
                              <w:divBdr>
                                <w:top w:val="none" w:sz="0" w:space="0" w:color="auto"/>
                                <w:left w:val="none" w:sz="0" w:space="0" w:color="auto"/>
                                <w:bottom w:val="none" w:sz="0" w:space="0" w:color="auto"/>
                                <w:right w:val="none" w:sz="0" w:space="0" w:color="auto"/>
                              </w:divBdr>
                            </w:div>
                            <w:div w:id="807166785">
                              <w:marLeft w:val="0"/>
                              <w:marRight w:val="0"/>
                              <w:marTop w:val="525"/>
                              <w:marBottom w:val="525"/>
                              <w:divBdr>
                                <w:top w:val="none" w:sz="0" w:space="0" w:color="auto"/>
                                <w:left w:val="none" w:sz="0" w:space="0" w:color="auto"/>
                                <w:bottom w:val="none" w:sz="0" w:space="0" w:color="auto"/>
                                <w:right w:val="none" w:sz="0" w:space="0" w:color="auto"/>
                              </w:divBdr>
                            </w:div>
                            <w:div w:id="1457336529">
                              <w:marLeft w:val="0"/>
                              <w:marRight w:val="0"/>
                              <w:marTop w:val="525"/>
                              <w:marBottom w:val="525"/>
                              <w:divBdr>
                                <w:top w:val="none" w:sz="0" w:space="0" w:color="auto"/>
                                <w:left w:val="none" w:sz="0" w:space="0" w:color="auto"/>
                                <w:bottom w:val="none" w:sz="0" w:space="0" w:color="auto"/>
                                <w:right w:val="none" w:sz="0" w:space="0" w:color="auto"/>
                              </w:divBdr>
                            </w:div>
                            <w:div w:id="1651446939">
                              <w:marLeft w:val="0"/>
                              <w:marRight w:val="0"/>
                              <w:marTop w:val="525"/>
                              <w:marBottom w:val="525"/>
                              <w:divBdr>
                                <w:top w:val="none" w:sz="0" w:space="0" w:color="auto"/>
                                <w:left w:val="none" w:sz="0" w:space="0" w:color="auto"/>
                                <w:bottom w:val="none" w:sz="0" w:space="0" w:color="auto"/>
                                <w:right w:val="none" w:sz="0" w:space="0" w:color="auto"/>
                              </w:divBdr>
                            </w:div>
                            <w:div w:id="115027096">
                              <w:marLeft w:val="0"/>
                              <w:marRight w:val="0"/>
                              <w:marTop w:val="525"/>
                              <w:marBottom w:val="525"/>
                              <w:divBdr>
                                <w:top w:val="none" w:sz="0" w:space="0" w:color="auto"/>
                                <w:left w:val="none" w:sz="0" w:space="0" w:color="auto"/>
                                <w:bottom w:val="none" w:sz="0" w:space="0" w:color="auto"/>
                                <w:right w:val="none" w:sz="0" w:space="0" w:color="auto"/>
                              </w:divBdr>
                            </w:div>
                            <w:div w:id="1239555264">
                              <w:marLeft w:val="0"/>
                              <w:marRight w:val="0"/>
                              <w:marTop w:val="525"/>
                              <w:marBottom w:val="525"/>
                              <w:divBdr>
                                <w:top w:val="none" w:sz="0" w:space="0" w:color="auto"/>
                                <w:left w:val="none" w:sz="0" w:space="0" w:color="auto"/>
                                <w:bottom w:val="none" w:sz="0" w:space="0" w:color="auto"/>
                                <w:right w:val="none" w:sz="0" w:space="0" w:color="auto"/>
                              </w:divBdr>
                            </w:div>
                            <w:div w:id="2092459178">
                              <w:marLeft w:val="0"/>
                              <w:marRight w:val="0"/>
                              <w:marTop w:val="525"/>
                              <w:marBottom w:val="525"/>
                              <w:divBdr>
                                <w:top w:val="none" w:sz="0" w:space="0" w:color="auto"/>
                                <w:left w:val="none" w:sz="0" w:space="0" w:color="auto"/>
                                <w:bottom w:val="none" w:sz="0" w:space="0" w:color="auto"/>
                                <w:right w:val="none" w:sz="0" w:space="0" w:color="auto"/>
                              </w:divBdr>
                            </w:div>
                            <w:div w:id="84768887">
                              <w:marLeft w:val="0"/>
                              <w:marRight w:val="0"/>
                              <w:marTop w:val="525"/>
                              <w:marBottom w:val="525"/>
                              <w:divBdr>
                                <w:top w:val="none" w:sz="0" w:space="0" w:color="auto"/>
                                <w:left w:val="none" w:sz="0" w:space="0" w:color="auto"/>
                                <w:bottom w:val="none" w:sz="0" w:space="0" w:color="auto"/>
                                <w:right w:val="none" w:sz="0" w:space="0" w:color="auto"/>
                              </w:divBdr>
                            </w:div>
                            <w:div w:id="306786084">
                              <w:marLeft w:val="0"/>
                              <w:marRight w:val="0"/>
                              <w:marTop w:val="525"/>
                              <w:marBottom w:val="525"/>
                              <w:divBdr>
                                <w:top w:val="none" w:sz="0" w:space="0" w:color="auto"/>
                                <w:left w:val="none" w:sz="0" w:space="0" w:color="auto"/>
                                <w:bottom w:val="none" w:sz="0" w:space="0" w:color="auto"/>
                                <w:right w:val="none" w:sz="0" w:space="0" w:color="auto"/>
                              </w:divBdr>
                            </w:div>
                            <w:div w:id="120616343">
                              <w:marLeft w:val="0"/>
                              <w:marRight w:val="0"/>
                              <w:marTop w:val="525"/>
                              <w:marBottom w:val="525"/>
                              <w:divBdr>
                                <w:top w:val="none" w:sz="0" w:space="0" w:color="auto"/>
                                <w:left w:val="none" w:sz="0" w:space="0" w:color="auto"/>
                                <w:bottom w:val="none" w:sz="0" w:space="0" w:color="auto"/>
                                <w:right w:val="none" w:sz="0" w:space="0" w:color="auto"/>
                              </w:divBdr>
                            </w:div>
                            <w:div w:id="1183477056">
                              <w:marLeft w:val="0"/>
                              <w:marRight w:val="0"/>
                              <w:marTop w:val="525"/>
                              <w:marBottom w:val="525"/>
                              <w:divBdr>
                                <w:top w:val="none" w:sz="0" w:space="0" w:color="auto"/>
                                <w:left w:val="none" w:sz="0" w:space="0" w:color="auto"/>
                                <w:bottom w:val="none" w:sz="0" w:space="0" w:color="auto"/>
                                <w:right w:val="none" w:sz="0" w:space="0" w:color="auto"/>
                              </w:divBdr>
                            </w:div>
                            <w:div w:id="1424763393">
                              <w:marLeft w:val="0"/>
                              <w:marRight w:val="0"/>
                              <w:marTop w:val="525"/>
                              <w:marBottom w:val="525"/>
                              <w:divBdr>
                                <w:top w:val="none" w:sz="0" w:space="0" w:color="auto"/>
                                <w:left w:val="none" w:sz="0" w:space="0" w:color="auto"/>
                                <w:bottom w:val="none" w:sz="0" w:space="0" w:color="auto"/>
                                <w:right w:val="none" w:sz="0" w:space="0" w:color="auto"/>
                              </w:divBdr>
                            </w:div>
                            <w:div w:id="1932853789">
                              <w:marLeft w:val="0"/>
                              <w:marRight w:val="0"/>
                              <w:marTop w:val="525"/>
                              <w:marBottom w:val="525"/>
                              <w:divBdr>
                                <w:top w:val="none" w:sz="0" w:space="0" w:color="auto"/>
                                <w:left w:val="none" w:sz="0" w:space="0" w:color="auto"/>
                                <w:bottom w:val="none" w:sz="0" w:space="0" w:color="auto"/>
                                <w:right w:val="none" w:sz="0" w:space="0" w:color="auto"/>
                              </w:divBdr>
                            </w:div>
                            <w:div w:id="305596701">
                              <w:marLeft w:val="0"/>
                              <w:marRight w:val="0"/>
                              <w:marTop w:val="525"/>
                              <w:marBottom w:val="525"/>
                              <w:divBdr>
                                <w:top w:val="none" w:sz="0" w:space="0" w:color="auto"/>
                                <w:left w:val="none" w:sz="0" w:space="0" w:color="auto"/>
                                <w:bottom w:val="none" w:sz="0" w:space="0" w:color="auto"/>
                                <w:right w:val="none" w:sz="0" w:space="0" w:color="auto"/>
                              </w:divBdr>
                            </w:div>
                            <w:div w:id="433742887">
                              <w:marLeft w:val="0"/>
                              <w:marRight w:val="0"/>
                              <w:marTop w:val="450"/>
                              <w:marBottom w:val="300"/>
                              <w:divBdr>
                                <w:top w:val="none" w:sz="0" w:space="0" w:color="auto"/>
                                <w:left w:val="none" w:sz="0" w:space="0" w:color="auto"/>
                                <w:bottom w:val="none" w:sz="0" w:space="0" w:color="auto"/>
                                <w:right w:val="none" w:sz="0" w:space="0" w:color="auto"/>
                              </w:divBdr>
                            </w:div>
                            <w:div w:id="1174418714">
                              <w:marLeft w:val="0"/>
                              <w:marRight w:val="0"/>
                              <w:marTop w:val="525"/>
                              <w:marBottom w:val="525"/>
                              <w:divBdr>
                                <w:top w:val="none" w:sz="0" w:space="0" w:color="auto"/>
                                <w:left w:val="none" w:sz="0" w:space="0" w:color="auto"/>
                                <w:bottom w:val="none" w:sz="0" w:space="0" w:color="auto"/>
                                <w:right w:val="none" w:sz="0" w:space="0" w:color="auto"/>
                              </w:divBdr>
                            </w:div>
                            <w:div w:id="787701191">
                              <w:marLeft w:val="0"/>
                              <w:marRight w:val="0"/>
                              <w:marTop w:val="525"/>
                              <w:marBottom w:val="525"/>
                              <w:divBdr>
                                <w:top w:val="none" w:sz="0" w:space="0" w:color="auto"/>
                                <w:left w:val="none" w:sz="0" w:space="0" w:color="auto"/>
                                <w:bottom w:val="none" w:sz="0" w:space="0" w:color="auto"/>
                                <w:right w:val="none" w:sz="0" w:space="0" w:color="auto"/>
                              </w:divBdr>
                            </w:div>
                            <w:div w:id="1049260875">
                              <w:marLeft w:val="0"/>
                              <w:marRight w:val="0"/>
                              <w:marTop w:val="525"/>
                              <w:marBottom w:val="525"/>
                              <w:divBdr>
                                <w:top w:val="none" w:sz="0" w:space="0" w:color="auto"/>
                                <w:left w:val="none" w:sz="0" w:space="0" w:color="auto"/>
                                <w:bottom w:val="none" w:sz="0" w:space="0" w:color="auto"/>
                                <w:right w:val="none" w:sz="0" w:space="0" w:color="auto"/>
                              </w:divBdr>
                            </w:div>
                            <w:div w:id="991643195">
                              <w:marLeft w:val="0"/>
                              <w:marRight w:val="0"/>
                              <w:marTop w:val="450"/>
                              <w:marBottom w:val="300"/>
                              <w:divBdr>
                                <w:top w:val="none" w:sz="0" w:space="0" w:color="auto"/>
                                <w:left w:val="none" w:sz="0" w:space="0" w:color="auto"/>
                                <w:bottom w:val="none" w:sz="0" w:space="0" w:color="auto"/>
                                <w:right w:val="none" w:sz="0" w:space="0" w:color="auto"/>
                              </w:divBdr>
                            </w:div>
                            <w:div w:id="1426615656">
                              <w:marLeft w:val="0"/>
                              <w:marRight w:val="0"/>
                              <w:marTop w:val="525"/>
                              <w:marBottom w:val="525"/>
                              <w:divBdr>
                                <w:top w:val="none" w:sz="0" w:space="0" w:color="auto"/>
                                <w:left w:val="none" w:sz="0" w:space="0" w:color="auto"/>
                                <w:bottom w:val="none" w:sz="0" w:space="0" w:color="auto"/>
                                <w:right w:val="none" w:sz="0" w:space="0" w:color="auto"/>
                              </w:divBdr>
                            </w:div>
                            <w:div w:id="1590312293">
                              <w:marLeft w:val="0"/>
                              <w:marRight w:val="0"/>
                              <w:marTop w:val="450"/>
                              <w:marBottom w:val="300"/>
                              <w:divBdr>
                                <w:top w:val="none" w:sz="0" w:space="0" w:color="auto"/>
                                <w:left w:val="none" w:sz="0" w:space="0" w:color="auto"/>
                                <w:bottom w:val="none" w:sz="0" w:space="0" w:color="auto"/>
                                <w:right w:val="none" w:sz="0" w:space="0" w:color="auto"/>
                              </w:divBdr>
                            </w:div>
                            <w:div w:id="1755979978">
                              <w:marLeft w:val="0"/>
                              <w:marRight w:val="0"/>
                              <w:marTop w:val="525"/>
                              <w:marBottom w:val="525"/>
                              <w:divBdr>
                                <w:top w:val="none" w:sz="0" w:space="0" w:color="auto"/>
                                <w:left w:val="none" w:sz="0" w:space="0" w:color="auto"/>
                                <w:bottom w:val="none" w:sz="0" w:space="0" w:color="auto"/>
                                <w:right w:val="none" w:sz="0" w:space="0" w:color="auto"/>
                              </w:divBdr>
                            </w:div>
                            <w:div w:id="595518">
                              <w:marLeft w:val="0"/>
                              <w:marRight w:val="0"/>
                              <w:marTop w:val="525"/>
                              <w:marBottom w:val="525"/>
                              <w:divBdr>
                                <w:top w:val="none" w:sz="0" w:space="0" w:color="auto"/>
                                <w:left w:val="none" w:sz="0" w:space="0" w:color="auto"/>
                                <w:bottom w:val="none" w:sz="0" w:space="0" w:color="auto"/>
                                <w:right w:val="none" w:sz="0" w:space="0" w:color="auto"/>
                              </w:divBdr>
                            </w:div>
                            <w:div w:id="1357273262">
                              <w:marLeft w:val="0"/>
                              <w:marRight w:val="0"/>
                              <w:marTop w:val="525"/>
                              <w:marBottom w:val="525"/>
                              <w:divBdr>
                                <w:top w:val="none" w:sz="0" w:space="0" w:color="auto"/>
                                <w:left w:val="none" w:sz="0" w:space="0" w:color="auto"/>
                                <w:bottom w:val="none" w:sz="0" w:space="0" w:color="auto"/>
                                <w:right w:val="none" w:sz="0" w:space="0" w:color="auto"/>
                              </w:divBdr>
                            </w:div>
                            <w:div w:id="1153909031">
                              <w:marLeft w:val="0"/>
                              <w:marRight w:val="0"/>
                              <w:marTop w:val="450"/>
                              <w:marBottom w:val="300"/>
                              <w:divBdr>
                                <w:top w:val="none" w:sz="0" w:space="0" w:color="auto"/>
                                <w:left w:val="none" w:sz="0" w:space="0" w:color="auto"/>
                                <w:bottom w:val="none" w:sz="0" w:space="0" w:color="auto"/>
                                <w:right w:val="none" w:sz="0" w:space="0" w:color="auto"/>
                              </w:divBdr>
                            </w:div>
                            <w:div w:id="480268419">
                              <w:marLeft w:val="0"/>
                              <w:marRight w:val="0"/>
                              <w:marTop w:val="450"/>
                              <w:marBottom w:val="300"/>
                              <w:divBdr>
                                <w:top w:val="none" w:sz="0" w:space="0" w:color="auto"/>
                                <w:left w:val="none" w:sz="0" w:space="0" w:color="auto"/>
                                <w:bottom w:val="none" w:sz="0" w:space="0" w:color="auto"/>
                                <w:right w:val="none" w:sz="0" w:space="0" w:color="auto"/>
                              </w:divBdr>
                            </w:div>
                            <w:div w:id="1550728528">
                              <w:marLeft w:val="0"/>
                              <w:marRight w:val="0"/>
                              <w:marTop w:val="525"/>
                              <w:marBottom w:val="525"/>
                              <w:divBdr>
                                <w:top w:val="none" w:sz="0" w:space="0" w:color="auto"/>
                                <w:left w:val="none" w:sz="0" w:space="0" w:color="auto"/>
                                <w:bottom w:val="none" w:sz="0" w:space="0" w:color="auto"/>
                                <w:right w:val="none" w:sz="0" w:space="0" w:color="auto"/>
                              </w:divBdr>
                            </w:div>
                            <w:div w:id="781456772">
                              <w:marLeft w:val="0"/>
                              <w:marRight w:val="0"/>
                              <w:marTop w:val="525"/>
                              <w:marBottom w:val="525"/>
                              <w:divBdr>
                                <w:top w:val="none" w:sz="0" w:space="0" w:color="auto"/>
                                <w:left w:val="none" w:sz="0" w:space="0" w:color="auto"/>
                                <w:bottom w:val="none" w:sz="0" w:space="0" w:color="auto"/>
                                <w:right w:val="none" w:sz="0" w:space="0" w:color="auto"/>
                              </w:divBdr>
                            </w:div>
                            <w:div w:id="1692955081">
                              <w:marLeft w:val="0"/>
                              <w:marRight w:val="0"/>
                              <w:marTop w:val="525"/>
                              <w:marBottom w:val="525"/>
                              <w:divBdr>
                                <w:top w:val="none" w:sz="0" w:space="0" w:color="auto"/>
                                <w:left w:val="none" w:sz="0" w:space="0" w:color="auto"/>
                                <w:bottom w:val="none" w:sz="0" w:space="0" w:color="auto"/>
                                <w:right w:val="none" w:sz="0" w:space="0" w:color="auto"/>
                              </w:divBdr>
                            </w:div>
                            <w:div w:id="1161308088">
                              <w:marLeft w:val="0"/>
                              <w:marRight w:val="0"/>
                              <w:marTop w:val="525"/>
                              <w:marBottom w:val="525"/>
                              <w:divBdr>
                                <w:top w:val="none" w:sz="0" w:space="0" w:color="auto"/>
                                <w:left w:val="none" w:sz="0" w:space="0" w:color="auto"/>
                                <w:bottom w:val="none" w:sz="0" w:space="0" w:color="auto"/>
                                <w:right w:val="none" w:sz="0" w:space="0" w:color="auto"/>
                              </w:divBdr>
                            </w:div>
                            <w:div w:id="1449860510">
                              <w:marLeft w:val="0"/>
                              <w:marRight w:val="0"/>
                              <w:marTop w:val="525"/>
                              <w:marBottom w:val="525"/>
                              <w:divBdr>
                                <w:top w:val="none" w:sz="0" w:space="0" w:color="auto"/>
                                <w:left w:val="none" w:sz="0" w:space="0" w:color="auto"/>
                                <w:bottom w:val="none" w:sz="0" w:space="0" w:color="auto"/>
                                <w:right w:val="none" w:sz="0" w:space="0" w:color="auto"/>
                              </w:divBdr>
                            </w:div>
                            <w:div w:id="1098214786">
                              <w:marLeft w:val="0"/>
                              <w:marRight w:val="0"/>
                              <w:marTop w:val="525"/>
                              <w:marBottom w:val="525"/>
                              <w:divBdr>
                                <w:top w:val="none" w:sz="0" w:space="0" w:color="auto"/>
                                <w:left w:val="none" w:sz="0" w:space="0" w:color="auto"/>
                                <w:bottom w:val="none" w:sz="0" w:space="0" w:color="auto"/>
                                <w:right w:val="none" w:sz="0" w:space="0" w:color="auto"/>
                              </w:divBdr>
                            </w:div>
                            <w:div w:id="754672314">
                              <w:marLeft w:val="0"/>
                              <w:marRight w:val="0"/>
                              <w:marTop w:val="450"/>
                              <w:marBottom w:val="300"/>
                              <w:divBdr>
                                <w:top w:val="none" w:sz="0" w:space="0" w:color="auto"/>
                                <w:left w:val="none" w:sz="0" w:space="0" w:color="auto"/>
                                <w:bottom w:val="none" w:sz="0" w:space="0" w:color="auto"/>
                                <w:right w:val="none" w:sz="0" w:space="0" w:color="auto"/>
                              </w:divBdr>
                            </w:div>
                            <w:div w:id="527060290">
                              <w:marLeft w:val="0"/>
                              <w:marRight w:val="0"/>
                              <w:marTop w:val="450"/>
                              <w:marBottom w:val="300"/>
                              <w:divBdr>
                                <w:top w:val="none" w:sz="0" w:space="0" w:color="auto"/>
                                <w:left w:val="none" w:sz="0" w:space="0" w:color="auto"/>
                                <w:bottom w:val="none" w:sz="0" w:space="0" w:color="auto"/>
                                <w:right w:val="none" w:sz="0" w:space="0" w:color="auto"/>
                              </w:divBdr>
                            </w:div>
                            <w:div w:id="1847286316">
                              <w:marLeft w:val="0"/>
                              <w:marRight w:val="0"/>
                              <w:marTop w:val="525"/>
                              <w:marBottom w:val="525"/>
                              <w:divBdr>
                                <w:top w:val="none" w:sz="0" w:space="0" w:color="auto"/>
                                <w:left w:val="none" w:sz="0" w:space="0" w:color="auto"/>
                                <w:bottom w:val="none" w:sz="0" w:space="0" w:color="auto"/>
                                <w:right w:val="none" w:sz="0" w:space="0" w:color="auto"/>
                              </w:divBdr>
                            </w:div>
                            <w:div w:id="1860701394">
                              <w:marLeft w:val="0"/>
                              <w:marRight w:val="0"/>
                              <w:marTop w:val="450"/>
                              <w:marBottom w:val="300"/>
                              <w:divBdr>
                                <w:top w:val="none" w:sz="0" w:space="0" w:color="auto"/>
                                <w:left w:val="none" w:sz="0" w:space="0" w:color="auto"/>
                                <w:bottom w:val="none" w:sz="0" w:space="0" w:color="auto"/>
                                <w:right w:val="none" w:sz="0" w:space="0" w:color="auto"/>
                              </w:divBdr>
                            </w:div>
                            <w:div w:id="1563058405">
                              <w:marLeft w:val="0"/>
                              <w:marRight w:val="0"/>
                              <w:marTop w:val="525"/>
                              <w:marBottom w:val="525"/>
                              <w:divBdr>
                                <w:top w:val="none" w:sz="0" w:space="0" w:color="auto"/>
                                <w:left w:val="none" w:sz="0" w:space="0" w:color="auto"/>
                                <w:bottom w:val="none" w:sz="0" w:space="0" w:color="auto"/>
                                <w:right w:val="none" w:sz="0" w:space="0" w:color="auto"/>
                              </w:divBdr>
                            </w:div>
                            <w:div w:id="1239289182">
                              <w:marLeft w:val="0"/>
                              <w:marRight w:val="0"/>
                              <w:marTop w:val="450"/>
                              <w:marBottom w:val="300"/>
                              <w:divBdr>
                                <w:top w:val="none" w:sz="0" w:space="0" w:color="auto"/>
                                <w:left w:val="none" w:sz="0" w:space="0" w:color="auto"/>
                                <w:bottom w:val="none" w:sz="0" w:space="0" w:color="auto"/>
                                <w:right w:val="none" w:sz="0" w:space="0" w:color="auto"/>
                              </w:divBdr>
                            </w:div>
                            <w:div w:id="1420251310">
                              <w:marLeft w:val="0"/>
                              <w:marRight w:val="0"/>
                              <w:marTop w:val="525"/>
                              <w:marBottom w:val="525"/>
                              <w:divBdr>
                                <w:top w:val="none" w:sz="0" w:space="0" w:color="auto"/>
                                <w:left w:val="none" w:sz="0" w:space="0" w:color="auto"/>
                                <w:bottom w:val="none" w:sz="0" w:space="0" w:color="auto"/>
                                <w:right w:val="none" w:sz="0" w:space="0" w:color="auto"/>
                              </w:divBdr>
                            </w:div>
                            <w:div w:id="1218398139">
                              <w:marLeft w:val="0"/>
                              <w:marRight w:val="0"/>
                              <w:marTop w:val="450"/>
                              <w:marBottom w:val="300"/>
                              <w:divBdr>
                                <w:top w:val="none" w:sz="0" w:space="0" w:color="auto"/>
                                <w:left w:val="none" w:sz="0" w:space="0" w:color="auto"/>
                                <w:bottom w:val="none" w:sz="0" w:space="0" w:color="auto"/>
                                <w:right w:val="none" w:sz="0" w:space="0" w:color="auto"/>
                              </w:divBdr>
                            </w:div>
                            <w:div w:id="1697348905">
                              <w:marLeft w:val="0"/>
                              <w:marRight w:val="0"/>
                              <w:marTop w:val="525"/>
                              <w:marBottom w:val="525"/>
                              <w:divBdr>
                                <w:top w:val="none" w:sz="0" w:space="0" w:color="auto"/>
                                <w:left w:val="none" w:sz="0" w:space="0" w:color="auto"/>
                                <w:bottom w:val="none" w:sz="0" w:space="0" w:color="auto"/>
                                <w:right w:val="none" w:sz="0" w:space="0" w:color="auto"/>
                              </w:divBdr>
                            </w:div>
                            <w:div w:id="763037308">
                              <w:marLeft w:val="0"/>
                              <w:marRight w:val="0"/>
                              <w:marTop w:val="450"/>
                              <w:marBottom w:val="300"/>
                              <w:divBdr>
                                <w:top w:val="none" w:sz="0" w:space="0" w:color="auto"/>
                                <w:left w:val="none" w:sz="0" w:space="0" w:color="auto"/>
                                <w:bottom w:val="none" w:sz="0" w:space="0" w:color="auto"/>
                                <w:right w:val="none" w:sz="0" w:space="0" w:color="auto"/>
                              </w:divBdr>
                            </w:div>
                            <w:div w:id="1175922406">
                              <w:marLeft w:val="0"/>
                              <w:marRight w:val="0"/>
                              <w:marTop w:val="525"/>
                              <w:marBottom w:val="525"/>
                              <w:divBdr>
                                <w:top w:val="none" w:sz="0" w:space="0" w:color="auto"/>
                                <w:left w:val="none" w:sz="0" w:space="0" w:color="auto"/>
                                <w:bottom w:val="none" w:sz="0" w:space="0" w:color="auto"/>
                                <w:right w:val="none" w:sz="0" w:space="0" w:color="auto"/>
                              </w:divBdr>
                            </w:div>
                            <w:div w:id="1619675927">
                              <w:marLeft w:val="0"/>
                              <w:marRight w:val="0"/>
                              <w:marTop w:val="525"/>
                              <w:marBottom w:val="525"/>
                              <w:divBdr>
                                <w:top w:val="none" w:sz="0" w:space="0" w:color="auto"/>
                                <w:left w:val="none" w:sz="0" w:space="0" w:color="auto"/>
                                <w:bottom w:val="none" w:sz="0" w:space="0" w:color="auto"/>
                                <w:right w:val="none" w:sz="0" w:space="0" w:color="auto"/>
                              </w:divBdr>
                            </w:div>
                            <w:div w:id="1638531690">
                              <w:marLeft w:val="0"/>
                              <w:marRight w:val="0"/>
                              <w:marTop w:val="525"/>
                              <w:marBottom w:val="525"/>
                              <w:divBdr>
                                <w:top w:val="none" w:sz="0" w:space="0" w:color="auto"/>
                                <w:left w:val="none" w:sz="0" w:space="0" w:color="auto"/>
                                <w:bottom w:val="none" w:sz="0" w:space="0" w:color="auto"/>
                                <w:right w:val="none" w:sz="0" w:space="0" w:color="auto"/>
                              </w:divBdr>
                            </w:div>
                            <w:div w:id="568198188">
                              <w:marLeft w:val="0"/>
                              <w:marRight w:val="0"/>
                              <w:marTop w:val="450"/>
                              <w:marBottom w:val="300"/>
                              <w:divBdr>
                                <w:top w:val="none" w:sz="0" w:space="0" w:color="auto"/>
                                <w:left w:val="none" w:sz="0" w:space="0" w:color="auto"/>
                                <w:bottom w:val="none" w:sz="0" w:space="0" w:color="auto"/>
                                <w:right w:val="none" w:sz="0" w:space="0" w:color="auto"/>
                              </w:divBdr>
                            </w:div>
                            <w:div w:id="599527016">
                              <w:marLeft w:val="0"/>
                              <w:marRight w:val="0"/>
                              <w:marTop w:val="525"/>
                              <w:marBottom w:val="525"/>
                              <w:divBdr>
                                <w:top w:val="none" w:sz="0" w:space="0" w:color="auto"/>
                                <w:left w:val="none" w:sz="0" w:space="0" w:color="auto"/>
                                <w:bottom w:val="none" w:sz="0" w:space="0" w:color="auto"/>
                                <w:right w:val="none" w:sz="0" w:space="0" w:color="auto"/>
                              </w:divBdr>
                            </w:div>
                            <w:div w:id="774208123">
                              <w:marLeft w:val="0"/>
                              <w:marRight w:val="0"/>
                              <w:marTop w:val="525"/>
                              <w:marBottom w:val="525"/>
                              <w:divBdr>
                                <w:top w:val="none" w:sz="0" w:space="0" w:color="auto"/>
                                <w:left w:val="none" w:sz="0" w:space="0" w:color="auto"/>
                                <w:bottom w:val="none" w:sz="0" w:space="0" w:color="auto"/>
                                <w:right w:val="none" w:sz="0" w:space="0" w:color="auto"/>
                              </w:divBdr>
                            </w:div>
                            <w:div w:id="1734692606">
                              <w:marLeft w:val="0"/>
                              <w:marRight w:val="0"/>
                              <w:marTop w:val="525"/>
                              <w:marBottom w:val="525"/>
                              <w:divBdr>
                                <w:top w:val="none" w:sz="0" w:space="0" w:color="auto"/>
                                <w:left w:val="none" w:sz="0" w:space="0" w:color="auto"/>
                                <w:bottom w:val="none" w:sz="0" w:space="0" w:color="auto"/>
                                <w:right w:val="none" w:sz="0" w:space="0" w:color="auto"/>
                              </w:divBdr>
                            </w:div>
                            <w:div w:id="212884724">
                              <w:marLeft w:val="0"/>
                              <w:marRight w:val="0"/>
                              <w:marTop w:val="525"/>
                              <w:marBottom w:val="525"/>
                              <w:divBdr>
                                <w:top w:val="none" w:sz="0" w:space="0" w:color="auto"/>
                                <w:left w:val="none" w:sz="0" w:space="0" w:color="auto"/>
                                <w:bottom w:val="none" w:sz="0" w:space="0" w:color="auto"/>
                                <w:right w:val="none" w:sz="0" w:space="0" w:color="auto"/>
                              </w:divBdr>
                            </w:div>
                            <w:div w:id="429085098">
                              <w:marLeft w:val="0"/>
                              <w:marRight w:val="0"/>
                              <w:marTop w:val="525"/>
                              <w:marBottom w:val="525"/>
                              <w:divBdr>
                                <w:top w:val="none" w:sz="0" w:space="0" w:color="auto"/>
                                <w:left w:val="none" w:sz="0" w:space="0" w:color="auto"/>
                                <w:bottom w:val="none" w:sz="0" w:space="0" w:color="auto"/>
                                <w:right w:val="none" w:sz="0" w:space="0" w:color="auto"/>
                              </w:divBdr>
                            </w:div>
                            <w:div w:id="2099792695">
                              <w:marLeft w:val="0"/>
                              <w:marRight w:val="0"/>
                              <w:marTop w:val="450"/>
                              <w:marBottom w:val="300"/>
                              <w:divBdr>
                                <w:top w:val="none" w:sz="0" w:space="0" w:color="auto"/>
                                <w:left w:val="none" w:sz="0" w:space="0" w:color="auto"/>
                                <w:bottom w:val="none" w:sz="0" w:space="0" w:color="auto"/>
                                <w:right w:val="none" w:sz="0" w:space="0" w:color="auto"/>
                              </w:divBdr>
                            </w:div>
                            <w:div w:id="487133127">
                              <w:marLeft w:val="0"/>
                              <w:marRight w:val="0"/>
                              <w:marTop w:val="450"/>
                              <w:marBottom w:val="300"/>
                              <w:divBdr>
                                <w:top w:val="none" w:sz="0" w:space="0" w:color="auto"/>
                                <w:left w:val="none" w:sz="0" w:space="0" w:color="auto"/>
                                <w:bottom w:val="none" w:sz="0" w:space="0" w:color="auto"/>
                                <w:right w:val="none" w:sz="0" w:space="0" w:color="auto"/>
                              </w:divBdr>
                            </w:div>
                            <w:div w:id="1315454746">
                              <w:marLeft w:val="0"/>
                              <w:marRight w:val="0"/>
                              <w:marTop w:val="525"/>
                              <w:marBottom w:val="525"/>
                              <w:divBdr>
                                <w:top w:val="none" w:sz="0" w:space="0" w:color="auto"/>
                                <w:left w:val="none" w:sz="0" w:space="0" w:color="auto"/>
                                <w:bottom w:val="none" w:sz="0" w:space="0" w:color="auto"/>
                                <w:right w:val="none" w:sz="0" w:space="0" w:color="auto"/>
                              </w:divBdr>
                            </w:div>
                            <w:div w:id="1895578475">
                              <w:marLeft w:val="0"/>
                              <w:marRight w:val="0"/>
                              <w:marTop w:val="525"/>
                              <w:marBottom w:val="525"/>
                              <w:divBdr>
                                <w:top w:val="none" w:sz="0" w:space="0" w:color="auto"/>
                                <w:left w:val="none" w:sz="0" w:space="0" w:color="auto"/>
                                <w:bottom w:val="none" w:sz="0" w:space="0" w:color="auto"/>
                                <w:right w:val="none" w:sz="0" w:space="0" w:color="auto"/>
                              </w:divBdr>
                            </w:div>
                            <w:div w:id="307514524">
                              <w:marLeft w:val="0"/>
                              <w:marRight w:val="0"/>
                              <w:marTop w:val="450"/>
                              <w:marBottom w:val="300"/>
                              <w:divBdr>
                                <w:top w:val="none" w:sz="0" w:space="0" w:color="auto"/>
                                <w:left w:val="none" w:sz="0" w:space="0" w:color="auto"/>
                                <w:bottom w:val="none" w:sz="0" w:space="0" w:color="auto"/>
                                <w:right w:val="none" w:sz="0" w:space="0" w:color="auto"/>
                              </w:divBdr>
                            </w:div>
                            <w:div w:id="525019613">
                              <w:marLeft w:val="0"/>
                              <w:marRight w:val="0"/>
                              <w:marTop w:val="525"/>
                              <w:marBottom w:val="525"/>
                              <w:divBdr>
                                <w:top w:val="none" w:sz="0" w:space="0" w:color="auto"/>
                                <w:left w:val="none" w:sz="0" w:space="0" w:color="auto"/>
                                <w:bottom w:val="none" w:sz="0" w:space="0" w:color="auto"/>
                                <w:right w:val="none" w:sz="0" w:space="0" w:color="auto"/>
                              </w:divBdr>
                            </w:div>
                            <w:div w:id="334302868">
                              <w:marLeft w:val="0"/>
                              <w:marRight w:val="0"/>
                              <w:marTop w:val="525"/>
                              <w:marBottom w:val="525"/>
                              <w:divBdr>
                                <w:top w:val="none" w:sz="0" w:space="0" w:color="auto"/>
                                <w:left w:val="none" w:sz="0" w:space="0" w:color="auto"/>
                                <w:bottom w:val="none" w:sz="0" w:space="0" w:color="auto"/>
                                <w:right w:val="none" w:sz="0" w:space="0" w:color="auto"/>
                              </w:divBdr>
                            </w:div>
                            <w:div w:id="1276133059">
                              <w:marLeft w:val="0"/>
                              <w:marRight w:val="0"/>
                              <w:marTop w:val="525"/>
                              <w:marBottom w:val="525"/>
                              <w:divBdr>
                                <w:top w:val="none" w:sz="0" w:space="0" w:color="auto"/>
                                <w:left w:val="none" w:sz="0" w:space="0" w:color="auto"/>
                                <w:bottom w:val="none" w:sz="0" w:space="0" w:color="auto"/>
                                <w:right w:val="none" w:sz="0" w:space="0" w:color="auto"/>
                              </w:divBdr>
                            </w:div>
                            <w:div w:id="1405882512">
                              <w:marLeft w:val="0"/>
                              <w:marRight w:val="0"/>
                              <w:marTop w:val="450"/>
                              <w:marBottom w:val="300"/>
                              <w:divBdr>
                                <w:top w:val="none" w:sz="0" w:space="0" w:color="auto"/>
                                <w:left w:val="none" w:sz="0" w:space="0" w:color="auto"/>
                                <w:bottom w:val="none" w:sz="0" w:space="0" w:color="auto"/>
                                <w:right w:val="none" w:sz="0" w:space="0" w:color="auto"/>
                              </w:divBdr>
                            </w:div>
                            <w:div w:id="1781561764">
                              <w:marLeft w:val="0"/>
                              <w:marRight w:val="0"/>
                              <w:marTop w:val="525"/>
                              <w:marBottom w:val="525"/>
                              <w:divBdr>
                                <w:top w:val="none" w:sz="0" w:space="0" w:color="auto"/>
                                <w:left w:val="none" w:sz="0" w:space="0" w:color="auto"/>
                                <w:bottom w:val="none" w:sz="0" w:space="0" w:color="auto"/>
                                <w:right w:val="none" w:sz="0" w:space="0" w:color="auto"/>
                              </w:divBdr>
                            </w:div>
                            <w:div w:id="624775329">
                              <w:marLeft w:val="0"/>
                              <w:marRight w:val="0"/>
                              <w:marTop w:val="525"/>
                              <w:marBottom w:val="525"/>
                              <w:divBdr>
                                <w:top w:val="none" w:sz="0" w:space="0" w:color="auto"/>
                                <w:left w:val="none" w:sz="0" w:space="0" w:color="auto"/>
                                <w:bottom w:val="none" w:sz="0" w:space="0" w:color="auto"/>
                                <w:right w:val="none" w:sz="0" w:space="0" w:color="auto"/>
                              </w:divBdr>
                            </w:div>
                            <w:div w:id="1617717535">
                              <w:marLeft w:val="0"/>
                              <w:marRight w:val="0"/>
                              <w:marTop w:val="525"/>
                              <w:marBottom w:val="525"/>
                              <w:divBdr>
                                <w:top w:val="none" w:sz="0" w:space="0" w:color="auto"/>
                                <w:left w:val="none" w:sz="0" w:space="0" w:color="auto"/>
                                <w:bottom w:val="none" w:sz="0" w:space="0" w:color="auto"/>
                                <w:right w:val="none" w:sz="0" w:space="0" w:color="auto"/>
                              </w:divBdr>
                            </w:div>
                            <w:div w:id="1854032181">
                              <w:marLeft w:val="0"/>
                              <w:marRight w:val="0"/>
                              <w:marTop w:val="525"/>
                              <w:marBottom w:val="525"/>
                              <w:divBdr>
                                <w:top w:val="none" w:sz="0" w:space="0" w:color="auto"/>
                                <w:left w:val="none" w:sz="0" w:space="0" w:color="auto"/>
                                <w:bottom w:val="none" w:sz="0" w:space="0" w:color="auto"/>
                                <w:right w:val="none" w:sz="0" w:space="0" w:color="auto"/>
                              </w:divBdr>
                            </w:div>
                            <w:div w:id="453522431">
                              <w:marLeft w:val="0"/>
                              <w:marRight w:val="0"/>
                              <w:marTop w:val="525"/>
                              <w:marBottom w:val="525"/>
                              <w:divBdr>
                                <w:top w:val="none" w:sz="0" w:space="0" w:color="auto"/>
                                <w:left w:val="none" w:sz="0" w:space="0" w:color="auto"/>
                                <w:bottom w:val="none" w:sz="0" w:space="0" w:color="auto"/>
                                <w:right w:val="none" w:sz="0" w:space="0" w:color="auto"/>
                              </w:divBdr>
                            </w:div>
                            <w:div w:id="1390038234">
                              <w:marLeft w:val="0"/>
                              <w:marRight w:val="0"/>
                              <w:marTop w:val="525"/>
                              <w:marBottom w:val="525"/>
                              <w:divBdr>
                                <w:top w:val="none" w:sz="0" w:space="0" w:color="auto"/>
                                <w:left w:val="none" w:sz="0" w:space="0" w:color="auto"/>
                                <w:bottom w:val="none" w:sz="0" w:space="0" w:color="auto"/>
                                <w:right w:val="none" w:sz="0" w:space="0" w:color="auto"/>
                              </w:divBdr>
                            </w:div>
                            <w:div w:id="1824008980">
                              <w:marLeft w:val="0"/>
                              <w:marRight w:val="0"/>
                              <w:marTop w:val="450"/>
                              <w:marBottom w:val="300"/>
                              <w:divBdr>
                                <w:top w:val="none" w:sz="0" w:space="0" w:color="auto"/>
                                <w:left w:val="none" w:sz="0" w:space="0" w:color="auto"/>
                                <w:bottom w:val="none" w:sz="0" w:space="0" w:color="auto"/>
                                <w:right w:val="none" w:sz="0" w:space="0" w:color="auto"/>
                              </w:divBdr>
                            </w:div>
                            <w:div w:id="824391418">
                              <w:marLeft w:val="0"/>
                              <w:marRight w:val="0"/>
                              <w:marTop w:val="525"/>
                              <w:marBottom w:val="525"/>
                              <w:divBdr>
                                <w:top w:val="none" w:sz="0" w:space="0" w:color="auto"/>
                                <w:left w:val="none" w:sz="0" w:space="0" w:color="auto"/>
                                <w:bottom w:val="none" w:sz="0" w:space="0" w:color="auto"/>
                                <w:right w:val="none" w:sz="0" w:space="0" w:color="auto"/>
                              </w:divBdr>
                            </w:div>
                            <w:div w:id="878861038">
                              <w:marLeft w:val="0"/>
                              <w:marRight w:val="0"/>
                              <w:marTop w:val="525"/>
                              <w:marBottom w:val="525"/>
                              <w:divBdr>
                                <w:top w:val="none" w:sz="0" w:space="0" w:color="auto"/>
                                <w:left w:val="none" w:sz="0" w:space="0" w:color="auto"/>
                                <w:bottom w:val="none" w:sz="0" w:space="0" w:color="auto"/>
                                <w:right w:val="none" w:sz="0" w:space="0" w:color="auto"/>
                              </w:divBdr>
                            </w:div>
                            <w:div w:id="1906062024">
                              <w:marLeft w:val="0"/>
                              <w:marRight w:val="0"/>
                              <w:marTop w:val="450"/>
                              <w:marBottom w:val="300"/>
                              <w:divBdr>
                                <w:top w:val="none" w:sz="0" w:space="0" w:color="auto"/>
                                <w:left w:val="none" w:sz="0" w:space="0" w:color="auto"/>
                                <w:bottom w:val="none" w:sz="0" w:space="0" w:color="auto"/>
                                <w:right w:val="none" w:sz="0" w:space="0" w:color="auto"/>
                              </w:divBdr>
                            </w:div>
                            <w:div w:id="1163660439">
                              <w:marLeft w:val="0"/>
                              <w:marRight w:val="0"/>
                              <w:marTop w:val="525"/>
                              <w:marBottom w:val="525"/>
                              <w:divBdr>
                                <w:top w:val="none" w:sz="0" w:space="0" w:color="auto"/>
                                <w:left w:val="none" w:sz="0" w:space="0" w:color="auto"/>
                                <w:bottom w:val="none" w:sz="0" w:space="0" w:color="auto"/>
                                <w:right w:val="none" w:sz="0" w:space="0" w:color="auto"/>
                              </w:divBdr>
                            </w:div>
                            <w:div w:id="2128893348">
                              <w:marLeft w:val="0"/>
                              <w:marRight w:val="0"/>
                              <w:marTop w:val="525"/>
                              <w:marBottom w:val="525"/>
                              <w:divBdr>
                                <w:top w:val="none" w:sz="0" w:space="0" w:color="auto"/>
                                <w:left w:val="none" w:sz="0" w:space="0" w:color="auto"/>
                                <w:bottom w:val="none" w:sz="0" w:space="0" w:color="auto"/>
                                <w:right w:val="none" w:sz="0" w:space="0" w:color="auto"/>
                              </w:divBdr>
                            </w:div>
                            <w:div w:id="467013066">
                              <w:marLeft w:val="0"/>
                              <w:marRight w:val="0"/>
                              <w:marTop w:val="450"/>
                              <w:marBottom w:val="300"/>
                              <w:divBdr>
                                <w:top w:val="none" w:sz="0" w:space="0" w:color="auto"/>
                                <w:left w:val="none" w:sz="0" w:space="0" w:color="auto"/>
                                <w:bottom w:val="none" w:sz="0" w:space="0" w:color="auto"/>
                                <w:right w:val="none" w:sz="0" w:space="0" w:color="auto"/>
                              </w:divBdr>
                            </w:div>
                            <w:div w:id="148599856">
                              <w:marLeft w:val="0"/>
                              <w:marRight w:val="0"/>
                              <w:marTop w:val="525"/>
                              <w:marBottom w:val="525"/>
                              <w:divBdr>
                                <w:top w:val="none" w:sz="0" w:space="0" w:color="auto"/>
                                <w:left w:val="none" w:sz="0" w:space="0" w:color="auto"/>
                                <w:bottom w:val="none" w:sz="0" w:space="0" w:color="auto"/>
                                <w:right w:val="none" w:sz="0" w:space="0" w:color="auto"/>
                              </w:divBdr>
                            </w:div>
                            <w:div w:id="104157174">
                              <w:marLeft w:val="0"/>
                              <w:marRight w:val="0"/>
                              <w:marTop w:val="450"/>
                              <w:marBottom w:val="300"/>
                              <w:divBdr>
                                <w:top w:val="none" w:sz="0" w:space="0" w:color="auto"/>
                                <w:left w:val="none" w:sz="0" w:space="0" w:color="auto"/>
                                <w:bottom w:val="none" w:sz="0" w:space="0" w:color="auto"/>
                                <w:right w:val="none" w:sz="0" w:space="0" w:color="auto"/>
                              </w:divBdr>
                            </w:div>
                            <w:div w:id="795876770">
                              <w:marLeft w:val="0"/>
                              <w:marRight w:val="0"/>
                              <w:marTop w:val="525"/>
                              <w:marBottom w:val="525"/>
                              <w:divBdr>
                                <w:top w:val="none" w:sz="0" w:space="0" w:color="auto"/>
                                <w:left w:val="none" w:sz="0" w:space="0" w:color="auto"/>
                                <w:bottom w:val="none" w:sz="0" w:space="0" w:color="auto"/>
                                <w:right w:val="none" w:sz="0" w:space="0" w:color="auto"/>
                              </w:divBdr>
                            </w:div>
                            <w:div w:id="1754084245">
                              <w:marLeft w:val="0"/>
                              <w:marRight w:val="0"/>
                              <w:marTop w:val="525"/>
                              <w:marBottom w:val="525"/>
                              <w:divBdr>
                                <w:top w:val="none" w:sz="0" w:space="0" w:color="auto"/>
                                <w:left w:val="none" w:sz="0" w:space="0" w:color="auto"/>
                                <w:bottom w:val="none" w:sz="0" w:space="0" w:color="auto"/>
                                <w:right w:val="none" w:sz="0" w:space="0" w:color="auto"/>
                              </w:divBdr>
                            </w:div>
                            <w:div w:id="1602103855">
                              <w:marLeft w:val="0"/>
                              <w:marRight w:val="0"/>
                              <w:marTop w:val="525"/>
                              <w:marBottom w:val="525"/>
                              <w:divBdr>
                                <w:top w:val="none" w:sz="0" w:space="0" w:color="auto"/>
                                <w:left w:val="none" w:sz="0" w:space="0" w:color="auto"/>
                                <w:bottom w:val="none" w:sz="0" w:space="0" w:color="auto"/>
                                <w:right w:val="none" w:sz="0" w:space="0" w:color="auto"/>
                              </w:divBdr>
                            </w:div>
                            <w:div w:id="1690830634">
                              <w:marLeft w:val="0"/>
                              <w:marRight w:val="0"/>
                              <w:marTop w:val="525"/>
                              <w:marBottom w:val="525"/>
                              <w:divBdr>
                                <w:top w:val="none" w:sz="0" w:space="0" w:color="auto"/>
                                <w:left w:val="none" w:sz="0" w:space="0" w:color="auto"/>
                                <w:bottom w:val="none" w:sz="0" w:space="0" w:color="auto"/>
                                <w:right w:val="none" w:sz="0" w:space="0" w:color="auto"/>
                              </w:divBdr>
                            </w:div>
                            <w:div w:id="1916744826">
                              <w:marLeft w:val="0"/>
                              <w:marRight w:val="0"/>
                              <w:marTop w:val="525"/>
                              <w:marBottom w:val="525"/>
                              <w:divBdr>
                                <w:top w:val="none" w:sz="0" w:space="0" w:color="auto"/>
                                <w:left w:val="none" w:sz="0" w:space="0" w:color="auto"/>
                                <w:bottom w:val="none" w:sz="0" w:space="0" w:color="auto"/>
                                <w:right w:val="none" w:sz="0" w:space="0" w:color="auto"/>
                              </w:divBdr>
                            </w:div>
                            <w:div w:id="994843779">
                              <w:marLeft w:val="0"/>
                              <w:marRight w:val="0"/>
                              <w:marTop w:val="525"/>
                              <w:marBottom w:val="525"/>
                              <w:divBdr>
                                <w:top w:val="none" w:sz="0" w:space="0" w:color="auto"/>
                                <w:left w:val="none" w:sz="0" w:space="0" w:color="auto"/>
                                <w:bottom w:val="none" w:sz="0" w:space="0" w:color="auto"/>
                                <w:right w:val="none" w:sz="0" w:space="0" w:color="auto"/>
                              </w:divBdr>
                            </w:div>
                            <w:div w:id="1309214613">
                              <w:marLeft w:val="0"/>
                              <w:marRight w:val="0"/>
                              <w:marTop w:val="525"/>
                              <w:marBottom w:val="525"/>
                              <w:divBdr>
                                <w:top w:val="none" w:sz="0" w:space="0" w:color="auto"/>
                                <w:left w:val="none" w:sz="0" w:space="0" w:color="auto"/>
                                <w:bottom w:val="none" w:sz="0" w:space="0" w:color="auto"/>
                                <w:right w:val="none" w:sz="0" w:space="0" w:color="auto"/>
                              </w:divBdr>
                            </w:div>
                            <w:div w:id="1477531726">
                              <w:marLeft w:val="0"/>
                              <w:marRight w:val="0"/>
                              <w:marTop w:val="525"/>
                              <w:marBottom w:val="525"/>
                              <w:divBdr>
                                <w:top w:val="none" w:sz="0" w:space="0" w:color="auto"/>
                                <w:left w:val="none" w:sz="0" w:space="0" w:color="auto"/>
                                <w:bottom w:val="none" w:sz="0" w:space="0" w:color="auto"/>
                                <w:right w:val="none" w:sz="0" w:space="0" w:color="auto"/>
                              </w:divBdr>
                            </w:div>
                            <w:div w:id="1395591155">
                              <w:marLeft w:val="0"/>
                              <w:marRight w:val="0"/>
                              <w:marTop w:val="525"/>
                              <w:marBottom w:val="525"/>
                              <w:divBdr>
                                <w:top w:val="none" w:sz="0" w:space="0" w:color="auto"/>
                                <w:left w:val="none" w:sz="0" w:space="0" w:color="auto"/>
                                <w:bottom w:val="none" w:sz="0" w:space="0" w:color="auto"/>
                                <w:right w:val="none" w:sz="0" w:space="0" w:color="auto"/>
                              </w:divBdr>
                            </w:div>
                            <w:div w:id="300499498">
                              <w:marLeft w:val="0"/>
                              <w:marRight w:val="0"/>
                              <w:marTop w:val="450"/>
                              <w:marBottom w:val="300"/>
                              <w:divBdr>
                                <w:top w:val="none" w:sz="0" w:space="0" w:color="auto"/>
                                <w:left w:val="none" w:sz="0" w:space="0" w:color="auto"/>
                                <w:bottom w:val="none" w:sz="0" w:space="0" w:color="auto"/>
                                <w:right w:val="none" w:sz="0" w:space="0" w:color="auto"/>
                              </w:divBdr>
                            </w:div>
                            <w:div w:id="1383358690">
                              <w:marLeft w:val="0"/>
                              <w:marRight w:val="0"/>
                              <w:marTop w:val="525"/>
                              <w:marBottom w:val="525"/>
                              <w:divBdr>
                                <w:top w:val="none" w:sz="0" w:space="0" w:color="auto"/>
                                <w:left w:val="none" w:sz="0" w:space="0" w:color="auto"/>
                                <w:bottom w:val="none" w:sz="0" w:space="0" w:color="auto"/>
                                <w:right w:val="none" w:sz="0" w:space="0" w:color="auto"/>
                              </w:divBdr>
                            </w:div>
                            <w:div w:id="1535843243">
                              <w:marLeft w:val="0"/>
                              <w:marRight w:val="0"/>
                              <w:marTop w:val="525"/>
                              <w:marBottom w:val="525"/>
                              <w:divBdr>
                                <w:top w:val="none" w:sz="0" w:space="0" w:color="auto"/>
                                <w:left w:val="none" w:sz="0" w:space="0" w:color="auto"/>
                                <w:bottom w:val="none" w:sz="0" w:space="0" w:color="auto"/>
                                <w:right w:val="none" w:sz="0" w:space="0" w:color="auto"/>
                              </w:divBdr>
                            </w:div>
                            <w:div w:id="1831290289">
                              <w:marLeft w:val="0"/>
                              <w:marRight w:val="0"/>
                              <w:marTop w:val="450"/>
                              <w:marBottom w:val="300"/>
                              <w:divBdr>
                                <w:top w:val="none" w:sz="0" w:space="0" w:color="auto"/>
                                <w:left w:val="none" w:sz="0" w:space="0" w:color="auto"/>
                                <w:bottom w:val="none" w:sz="0" w:space="0" w:color="auto"/>
                                <w:right w:val="none" w:sz="0" w:space="0" w:color="auto"/>
                              </w:divBdr>
                            </w:div>
                            <w:div w:id="1131941924">
                              <w:marLeft w:val="0"/>
                              <w:marRight w:val="0"/>
                              <w:marTop w:val="525"/>
                              <w:marBottom w:val="525"/>
                              <w:divBdr>
                                <w:top w:val="none" w:sz="0" w:space="0" w:color="auto"/>
                                <w:left w:val="none" w:sz="0" w:space="0" w:color="auto"/>
                                <w:bottom w:val="none" w:sz="0" w:space="0" w:color="auto"/>
                                <w:right w:val="none" w:sz="0" w:space="0" w:color="auto"/>
                              </w:divBdr>
                            </w:div>
                            <w:div w:id="861283015">
                              <w:marLeft w:val="0"/>
                              <w:marRight w:val="0"/>
                              <w:marTop w:val="525"/>
                              <w:marBottom w:val="525"/>
                              <w:divBdr>
                                <w:top w:val="none" w:sz="0" w:space="0" w:color="auto"/>
                                <w:left w:val="none" w:sz="0" w:space="0" w:color="auto"/>
                                <w:bottom w:val="none" w:sz="0" w:space="0" w:color="auto"/>
                                <w:right w:val="none" w:sz="0" w:space="0" w:color="auto"/>
                              </w:divBdr>
                            </w:div>
                            <w:div w:id="1098985700">
                              <w:marLeft w:val="0"/>
                              <w:marRight w:val="0"/>
                              <w:marTop w:val="525"/>
                              <w:marBottom w:val="525"/>
                              <w:divBdr>
                                <w:top w:val="none" w:sz="0" w:space="0" w:color="auto"/>
                                <w:left w:val="none" w:sz="0" w:space="0" w:color="auto"/>
                                <w:bottom w:val="none" w:sz="0" w:space="0" w:color="auto"/>
                                <w:right w:val="none" w:sz="0" w:space="0" w:color="auto"/>
                              </w:divBdr>
                            </w:div>
                            <w:div w:id="1133792774">
                              <w:marLeft w:val="0"/>
                              <w:marRight w:val="0"/>
                              <w:marTop w:val="525"/>
                              <w:marBottom w:val="525"/>
                              <w:divBdr>
                                <w:top w:val="none" w:sz="0" w:space="0" w:color="auto"/>
                                <w:left w:val="none" w:sz="0" w:space="0" w:color="auto"/>
                                <w:bottom w:val="none" w:sz="0" w:space="0" w:color="auto"/>
                                <w:right w:val="none" w:sz="0" w:space="0" w:color="auto"/>
                              </w:divBdr>
                            </w:div>
                            <w:div w:id="1604024198">
                              <w:marLeft w:val="0"/>
                              <w:marRight w:val="0"/>
                              <w:marTop w:val="525"/>
                              <w:marBottom w:val="525"/>
                              <w:divBdr>
                                <w:top w:val="none" w:sz="0" w:space="0" w:color="auto"/>
                                <w:left w:val="none" w:sz="0" w:space="0" w:color="auto"/>
                                <w:bottom w:val="none" w:sz="0" w:space="0" w:color="auto"/>
                                <w:right w:val="none" w:sz="0" w:space="0" w:color="auto"/>
                              </w:divBdr>
                            </w:div>
                            <w:div w:id="1904368282">
                              <w:marLeft w:val="0"/>
                              <w:marRight w:val="0"/>
                              <w:marTop w:val="525"/>
                              <w:marBottom w:val="525"/>
                              <w:divBdr>
                                <w:top w:val="none" w:sz="0" w:space="0" w:color="auto"/>
                                <w:left w:val="none" w:sz="0" w:space="0" w:color="auto"/>
                                <w:bottom w:val="none" w:sz="0" w:space="0" w:color="auto"/>
                                <w:right w:val="none" w:sz="0" w:space="0" w:color="auto"/>
                              </w:divBdr>
                            </w:div>
                            <w:div w:id="1480657311">
                              <w:marLeft w:val="0"/>
                              <w:marRight w:val="0"/>
                              <w:marTop w:val="525"/>
                              <w:marBottom w:val="525"/>
                              <w:divBdr>
                                <w:top w:val="none" w:sz="0" w:space="0" w:color="auto"/>
                                <w:left w:val="none" w:sz="0" w:space="0" w:color="auto"/>
                                <w:bottom w:val="none" w:sz="0" w:space="0" w:color="auto"/>
                                <w:right w:val="none" w:sz="0" w:space="0" w:color="auto"/>
                              </w:divBdr>
                            </w:div>
                          </w:divsChild>
                        </w:div>
                        <w:div w:id="1300651663">
                          <w:marLeft w:val="0"/>
                          <w:marRight w:val="0"/>
                          <w:marTop w:val="0"/>
                          <w:marBottom w:val="0"/>
                          <w:divBdr>
                            <w:top w:val="none" w:sz="0" w:space="0" w:color="auto"/>
                            <w:left w:val="none" w:sz="0" w:space="0" w:color="auto"/>
                            <w:bottom w:val="none" w:sz="0" w:space="0" w:color="auto"/>
                            <w:right w:val="none" w:sz="0" w:space="0" w:color="auto"/>
                          </w:divBdr>
                        </w:div>
                      </w:divsChild>
                    </w:div>
                    <w:div w:id="8937376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TexteArticle.do?cidTexte=JORFTEXT000000215117&amp;idArticle=LEGIARTI000006529215&amp;dateTexte=&amp;categorieLien=cid" TargetMode="External"/><Relationship Id="rId299" Type="http://schemas.openxmlformats.org/officeDocument/2006/relationships/hyperlink" Target="https://www.legifrance.gouv.fr/affichTexteArticle.do;jsessionid=5FF1E359A0ED4667EE19EC861F713053.tplgfr38s_3?idArticle=JORFARTI000028773813&amp;cidTexte=JORFTEXT000028772256&amp;dateTexte=29990101&amp;categorieLien=id" TargetMode="External"/><Relationship Id="rId671" Type="http://schemas.openxmlformats.org/officeDocument/2006/relationships/hyperlink" Target="https://www.legifrance.gouv.fr/affichTexteArticle.do;jsessionid=5FF1E359A0ED4667EE19EC861F713053.tplgfr38s_3?idArticle=JORFARTI000028774799&amp;cidTexte=JORFTEXT000028772256&amp;dateTexte=29990101&amp;categorieLien=id" TargetMode="External"/><Relationship Id="rId21" Type="http://schemas.openxmlformats.org/officeDocument/2006/relationships/hyperlink" Target="https://www.legifrance.gouv.fr/affichCodeArticle.do?cidTexte=LEGITEXT000006074096&amp;idArticle=LEGIARTI000006825181&amp;dateTexte=&amp;categorieLien=cid" TargetMode="External"/><Relationship Id="rId63" Type="http://schemas.openxmlformats.org/officeDocument/2006/relationships/hyperlink" Target="https://www.legifrance.gouv.fr/affichTexteArticle.do?cidTexte=JORFTEXT000000874247&amp;idArticle=LEGIARTI000006474723&amp;dateTexte=&amp;categorieLien=cid" TargetMode="External"/><Relationship Id="rId159" Type="http://schemas.openxmlformats.org/officeDocument/2006/relationships/hyperlink" Target="https://www.legifrance.gouv.fr/affichTexteArticle.do;jsessionid=5FF1E359A0ED4667EE19EC861F713053.tplgfr38s_3?idArticle=JORFARTI000028773377&amp;cidTexte=JORFTEXT000028772256&amp;dateTexte=29990101&amp;categorieLien=id" TargetMode="External"/><Relationship Id="rId324" Type="http://schemas.openxmlformats.org/officeDocument/2006/relationships/hyperlink" Target="https://www.legifrance.gouv.fr/affichCodeArticle.do?cidTexte=LEGITEXT000006074096&amp;idArticle=LEGIARTI000006825773&amp;dateTexte=&amp;categorieLien=cid" TargetMode="External"/><Relationship Id="rId366" Type="http://schemas.openxmlformats.org/officeDocument/2006/relationships/hyperlink" Target="https://www.legifrance.gouv.fr/affichTexteArticle.do;jsessionid=5FF1E359A0ED4667EE19EC861F713053.tplgfr38s_3?idArticle=JORFARTI000028774005&amp;cidTexte=JORFTEXT000028772256&amp;dateTexte=29990101&amp;categorieLien=id" TargetMode="External"/><Relationship Id="rId531" Type="http://schemas.openxmlformats.org/officeDocument/2006/relationships/hyperlink" Target="https://www.legifrance.gouv.fr/affichTexteArticle.do;jsessionid=5FF1E359A0ED4667EE19EC861F713053.tplgfr38s_3?idArticle=JORFARTI000028773033&amp;cidTexte=JORFTEXT000028772256&amp;dateTexte=29990101&amp;categorieLien=id" TargetMode="External"/><Relationship Id="rId573" Type="http://schemas.openxmlformats.org/officeDocument/2006/relationships/hyperlink" Target="https://www.legifrance.gouv.fr/affichTexteArticle.do;jsessionid=5FF1E359A0ED4667EE19EC861F713053.tplgfr38s_3?idArticle=JORFARTI000028774440&amp;cidTexte=JORFTEXT000028772256&amp;dateTexte=29990101&amp;categorieLien=id" TargetMode="External"/><Relationship Id="rId629" Type="http://schemas.openxmlformats.org/officeDocument/2006/relationships/hyperlink" Target="https://www.legifrance.gouv.fr/affichCode.do?cidTexte=LEGITEXT000006074075&amp;dateTexte=&amp;categorieLien=cid" TargetMode="External"/><Relationship Id="rId170" Type="http://schemas.openxmlformats.org/officeDocument/2006/relationships/hyperlink" Target="https://www.legifrance.gouv.fr/affichCodeArticle.do?cidTexte=LEGITEXT000006073189&amp;idArticle=LEGIARTI000006745319&amp;dateTexte=&amp;categorieLien=cid" TargetMode="External"/><Relationship Id="rId226" Type="http://schemas.openxmlformats.org/officeDocument/2006/relationships/hyperlink" Target="https://www.legifrance.gouv.fr/affichCodeArticle.do?cidTexte=LEGITEXT000006072665&amp;idArticle=LEGIARTI000006686739&amp;dateTexte=&amp;categorieLien=cid" TargetMode="External"/><Relationship Id="rId433" Type="http://schemas.openxmlformats.org/officeDocument/2006/relationships/hyperlink" Target="https://www.legifrance.gouv.fr/affichCodeArticle.do?cidTexte=LEGITEXT000005634379&amp;idArticle=LEGIARTI000006232012&amp;dateTexte=&amp;categorieLien=cid" TargetMode="External"/><Relationship Id="rId268" Type="http://schemas.openxmlformats.org/officeDocument/2006/relationships/hyperlink" Target="https://www.legifrance.gouv.fr/affichCodeArticle.do?cidTexte=LEGITEXT000005634379&amp;idArticle=LEGIARTI000006229272&amp;dateTexte=&amp;categorieLien=cid" TargetMode="External"/><Relationship Id="rId475" Type="http://schemas.openxmlformats.org/officeDocument/2006/relationships/hyperlink" Target="https://www.legifrance.gouv.fr/affichTexteArticle.do?cidTexte=JORFTEXT000000606271&amp;idArticle=LEGIARTI000006632385&amp;dateTexte=&amp;categorieLien=cid" TargetMode="External"/><Relationship Id="rId640" Type="http://schemas.openxmlformats.org/officeDocument/2006/relationships/hyperlink" Target="https://www.legifrance.gouv.fr/affichTexteArticle.do;jsessionid=5FF1E359A0ED4667EE19EC861F713053.tplgfr38s_3?idArticle=JORFARTI000028774691&amp;cidTexte=JORFTEXT000028772256&amp;dateTexte=29990101&amp;categorieLien=id" TargetMode="External"/><Relationship Id="rId682" Type="http://schemas.openxmlformats.org/officeDocument/2006/relationships/hyperlink" Target="https://www.legifrance.gouv.fr/affichTexteArticle.do;jsessionid=5FF1E359A0ED4667EE19EC861F713053.tplgfr38s_3?idArticle=JORFARTI000028773231&amp;cidTexte=JORFTEXT000028772256&amp;dateTexte=29990101&amp;categorieLien=id" TargetMode="External"/><Relationship Id="rId32" Type="http://schemas.openxmlformats.org/officeDocument/2006/relationships/hyperlink" Target="https://www.legifrance.gouv.fr/affichCodeArticle.do?cidTexte=LEGITEXT000006074075&amp;idArticle=LEGIARTI000006815913&amp;dateTexte=&amp;categorieLien=cid" TargetMode="External"/><Relationship Id="rId74" Type="http://schemas.openxmlformats.org/officeDocument/2006/relationships/hyperlink" Target="https://www.legifrance.gouv.fr/affichTexteArticle.do?cidTexte=JORFTEXT000000509310&amp;idArticle=LEGIARTI000006475019&amp;dateTexte=&amp;categorieLien=cid" TargetMode="External"/><Relationship Id="rId128" Type="http://schemas.openxmlformats.org/officeDocument/2006/relationships/hyperlink" Target="https://www.legifrance.gouv.fr/affichTexte.do?cidTexte=JORFTEXT000000512228&amp;categorieLien=cid" TargetMode="External"/><Relationship Id="rId335" Type="http://schemas.openxmlformats.org/officeDocument/2006/relationships/hyperlink" Target="https://www.legifrance.gouv.fr/affichCodeArticle.do?cidTexte=LEGITEXT000006070721&amp;idArticle=LEGIARTI000006449080&amp;dateTexte=&amp;categorieLien=cid" TargetMode="External"/><Relationship Id="rId377" Type="http://schemas.openxmlformats.org/officeDocument/2006/relationships/hyperlink" Target="https://www.legifrance.gouv.fr/affichTexteArticle.do;jsessionid=5FF1E359A0ED4667EE19EC861F713053.tplgfr38s_3?idArticle=JORFARTI000028774026&amp;cidTexte=JORFTEXT000028772256&amp;dateTexte=29990101&amp;categorieLien=id" TargetMode="External"/><Relationship Id="rId500" Type="http://schemas.openxmlformats.org/officeDocument/2006/relationships/hyperlink" Target="https://www.legifrance.gouv.fr/affichTexteArticle.do;jsessionid=5FF1E359A0ED4667EE19EC861F713053.tplgfr38s_3?idArticle=JORFARTI000028774388&amp;cidTexte=JORFTEXT000028772256&amp;dateTexte=29990101&amp;categorieLien=id" TargetMode="External"/><Relationship Id="rId542" Type="http://schemas.openxmlformats.org/officeDocument/2006/relationships/hyperlink" Target="https://www.legifrance.gouv.fr/affichTexteArticle.do?cidTexte=JORFTEXT000000409466&amp;idArticle=LEGIARTI000006340715&amp;dateTexte=&amp;categorieLien=cid" TargetMode="External"/><Relationship Id="rId584" Type="http://schemas.openxmlformats.org/officeDocument/2006/relationships/hyperlink" Target="https://www.legifrance.gouv.fr/affichCodeArticle.do?cidTexte=LEGITEXT000006074075&amp;idArticle=LEGIARTI000006814444&amp;dateTexte=&amp;categorieLien=cid" TargetMode="External"/><Relationship Id="rId5" Type="http://schemas.openxmlformats.org/officeDocument/2006/relationships/hyperlink" Target="https://www.legifrance.gouv.fr/affichTexte.do?cidTexte=JORFTEXT000028774937&amp;categorieLien=cid" TargetMode="External"/><Relationship Id="rId181" Type="http://schemas.openxmlformats.org/officeDocument/2006/relationships/hyperlink" Target="https://www.legifrance.gouv.fr/affichCodeArticle.do?cidTexte=LEGITEXT000006074069&amp;idArticle=LEGIARTI000020443786&amp;dateTexte=&amp;categorieLien=cid" TargetMode="External"/><Relationship Id="rId237" Type="http://schemas.openxmlformats.org/officeDocument/2006/relationships/hyperlink" Target="https://www.legifrance.gouv.fr/affichTexteArticle.do;jsessionid=5FF1E359A0ED4667EE19EC861F713053.tplgfr38s_3?idArticle=JORFARTI000028773483&amp;cidTexte=JORFTEXT000028772256&amp;dateTexte=29990101&amp;categorieLien=id" TargetMode="External"/><Relationship Id="rId402" Type="http://schemas.openxmlformats.org/officeDocument/2006/relationships/hyperlink" Target="https://www.legifrance.gouv.fr/affichTexteArticle.do;jsessionid=5FF1E359A0ED4667EE19EC861F713053.tplgfr38s_3?idArticle=JORFARTI000028774104&amp;cidTexte=JORFTEXT000028772256&amp;dateTexte=29990101&amp;categorieLien=id" TargetMode="External"/><Relationship Id="rId279" Type="http://schemas.openxmlformats.org/officeDocument/2006/relationships/hyperlink" Target="https://www.legifrance.gouv.fr/affichTexteArticle.do;jsessionid=5FF1E359A0ED4667EE19EC861F713053.tplgfr38s_3?idArticle=JORFARTI000028773730&amp;cidTexte=JORFTEXT000028772256&amp;dateTexte=29990101&amp;categorieLien=id" TargetMode="External"/><Relationship Id="rId444" Type="http://schemas.openxmlformats.org/officeDocument/2006/relationships/hyperlink" Target="https://www.legifrance.gouv.fr/affichCodeArticle.do?cidTexte=LEGITEXT000006074096&amp;idArticle=LEGIARTI000006824473&amp;dateTexte=&amp;categorieLien=cid" TargetMode="External"/><Relationship Id="rId486" Type="http://schemas.openxmlformats.org/officeDocument/2006/relationships/hyperlink" Target="https://www.legifrance.gouv.fr/affichTexteArticle.do?cidTexte=JORFTEXT000023314376&amp;idArticle=JORFARTI000023315993&amp;categorieLien=cid" TargetMode="External"/><Relationship Id="rId651" Type="http://schemas.openxmlformats.org/officeDocument/2006/relationships/hyperlink" Target="https://www.legifrance.gouv.fr/affichTexteArticle.do;jsessionid=5FF1E359A0ED4667EE19EC861F713053.tplgfr38s_3?idArticle=JORFARTI000028774750&amp;cidTexte=JORFTEXT000028772256&amp;dateTexte=29990101&amp;categorieLien=id" TargetMode="External"/><Relationship Id="rId693" Type="http://schemas.openxmlformats.org/officeDocument/2006/relationships/hyperlink" Target="https://www.legifrance.gouv.fr/affichTexte.do?cidTexte=JORFTEXT000028025729&amp;categorieLien=cid" TargetMode="External"/><Relationship Id="rId707" Type="http://schemas.openxmlformats.org/officeDocument/2006/relationships/hyperlink" Target="https://www.legifrance.gouv.fr/affichCodeArticle.do?cidTexte=LEGITEXT000006070299&amp;idArticle=LEGIARTI000006361490&amp;dateTexte=&amp;categorieLien=cid" TargetMode="External"/><Relationship Id="rId43" Type="http://schemas.openxmlformats.org/officeDocument/2006/relationships/hyperlink" Target="https://www.legifrance.gouv.fr/affichTexteArticle.do?cidTexte=JORFTEXT000021943918&amp;idArticle=JORFARTI000021943919&amp;categorieLien=cid" TargetMode="External"/><Relationship Id="rId139" Type="http://schemas.openxmlformats.org/officeDocument/2006/relationships/hyperlink" Target="https://www.legifrance.gouv.fr/affichCodeArticle.do?cidTexte=LEGITEXT000006072665&amp;idArticle=LEGIARTI000006686584&amp;dateTexte=&amp;categorieLien=cid" TargetMode="External"/><Relationship Id="rId290" Type="http://schemas.openxmlformats.org/officeDocument/2006/relationships/hyperlink" Target="https://www.legifrance.gouv.fr/affichTexteArticle.do;jsessionid=5FF1E359A0ED4667EE19EC861F713053.tplgfr38s_3?idArticle=JORFARTI000028773787&amp;cidTexte=JORFTEXT000028772256&amp;dateTexte=29990101&amp;categorieLien=id" TargetMode="External"/><Relationship Id="rId304" Type="http://schemas.openxmlformats.org/officeDocument/2006/relationships/hyperlink" Target="https://www.legifrance.gouv.fr/affichCodeArticle.do?cidTexte=LEGITEXT000006073189&amp;idArticle=LEGIARTI000006743252&amp;dateTexte=&amp;categorieLien=cid" TargetMode="External"/><Relationship Id="rId346" Type="http://schemas.openxmlformats.org/officeDocument/2006/relationships/hyperlink" Target="https://www.legifrance.gouv.fr/affichTexteArticle.do;jsessionid=5FF1E359A0ED4667EE19EC861F713053.tplgfr38s_3?idArticle=JORFARTI000028773950&amp;cidTexte=JORFTEXT000028772256&amp;dateTexte=29990101&amp;categorieLien=id" TargetMode="External"/><Relationship Id="rId388" Type="http://schemas.openxmlformats.org/officeDocument/2006/relationships/hyperlink" Target="https://www.legifrance.gouv.fr/affichCodeArticle.do?cidTexte=LEGITEXT000006072665&amp;idArticle=LEGIARTI000020888362&amp;dateTexte=&amp;categorieLien=cid" TargetMode="External"/><Relationship Id="rId511" Type="http://schemas.openxmlformats.org/officeDocument/2006/relationships/hyperlink" Target="https://www.legifrance.gouv.fr/affichCodeArticle.do?cidTexte=LEGITEXT000006074096&amp;idArticle=LEGIARTI000006824836&amp;dateTexte=&amp;categorieLien=cid" TargetMode="External"/><Relationship Id="rId553" Type="http://schemas.openxmlformats.org/officeDocument/2006/relationships/hyperlink" Target="https://www.legifrance.gouv.fr/affichCodeArticle.do?cidTexte=LEGITEXT000006074075&amp;idArticle=LEGIARTI000006814665&amp;dateTexte=&amp;categorieLien=cid" TargetMode="External"/><Relationship Id="rId609" Type="http://schemas.openxmlformats.org/officeDocument/2006/relationships/hyperlink" Target="https://www.legifrance.gouv.fr/affichCodeArticle.do?cidTexte=LEGITEXT000006071367&amp;idArticle=LEGIARTI000006582054&amp;dateTexte=&amp;categorieLien=cid" TargetMode="External"/><Relationship Id="rId85" Type="http://schemas.openxmlformats.org/officeDocument/2006/relationships/hyperlink" Target="https://www.legifrance.gouv.fr/affichTexteArticle.do?cidTexte=JORFTEXT000000509310&amp;idArticle=LEGIARTI000006475058&amp;dateTexte=&amp;categorieLien=cid" TargetMode="External"/><Relationship Id="rId150" Type="http://schemas.openxmlformats.org/officeDocument/2006/relationships/hyperlink" Target="https://www.legifrance.gouv.fr/affichCodeArticle.do?cidTexte=LEGITEXT000006073189&amp;idArticle=LEGIARTI000006741153&amp;dateTexte=&amp;categorieLien=cid" TargetMode="External"/><Relationship Id="rId192" Type="http://schemas.openxmlformats.org/officeDocument/2006/relationships/hyperlink" Target="https://www.legifrance.gouv.fr/affichTexteArticle.do;jsessionid=5FF1E359A0ED4667EE19EC861F713053.tplgfr38s_3?idArticle=JORFARTI000028774888&amp;cidTexte=JORFTEXT000028772256&amp;dateTexte=29990101&amp;categorieLien=id" TargetMode="External"/><Relationship Id="rId206" Type="http://schemas.openxmlformats.org/officeDocument/2006/relationships/hyperlink" Target="https://www.legifrance.gouv.fr/affichTexteArticle.do;jsessionid=5FF1E359A0ED4667EE19EC861F713053.tplgfr38s_3?idArticle=JORFARTI000028773417&amp;cidTexte=JORFTEXT000028772256&amp;dateTexte=29990101&amp;categorieLien=id" TargetMode="External"/><Relationship Id="rId413" Type="http://schemas.openxmlformats.org/officeDocument/2006/relationships/hyperlink" Target="https://www.legifrance.gouv.fr/affichTexteArticle.do;jsessionid=5FF1E359A0ED4667EE19EC861F713053.tplgfr38s_3?idArticle=JORFARTI000028772729&amp;cidTexte=JORFTEXT000028772256&amp;dateTexte=29990101&amp;categorieLien=id" TargetMode="External"/><Relationship Id="rId595" Type="http://schemas.openxmlformats.org/officeDocument/2006/relationships/hyperlink" Target="https://www.legifrance.gouv.fr/affichCode.do?cidTexte=LEGITEXT000006074075&amp;dateTexte=&amp;categorieLien=cid" TargetMode="External"/><Relationship Id="rId248" Type="http://schemas.openxmlformats.org/officeDocument/2006/relationships/hyperlink" Target="https://www.legifrance.gouv.fr/affichCodeArticle.do?cidTexte=LEGITEXT000006074073&amp;idArticle=LEGIARTI000006813144&amp;dateTexte=&amp;categorieLien=cid" TargetMode="External"/><Relationship Id="rId455" Type="http://schemas.openxmlformats.org/officeDocument/2006/relationships/hyperlink" Target="https://www.legifrance.gouv.fr/affichCodeArticle.do?cidTexte=LEGITEXT000006069577&amp;idArticle=LEGIARTI000026876399&amp;dateTexte=&amp;categorieLien=cid" TargetMode="External"/><Relationship Id="rId497" Type="http://schemas.openxmlformats.org/officeDocument/2006/relationships/hyperlink" Target="https://www.legifrance.gouv.fr/affichTexteArticle.do;jsessionid=5FF1E359A0ED4667EE19EC861F713053.tplgfr38s_3?idArticle=JORFARTI000028774366&amp;cidTexte=JORFTEXT000028772256&amp;dateTexte=29990101&amp;categorieLien=id" TargetMode="External"/><Relationship Id="rId620" Type="http://schemas.openxmlformats.org/officeDocument/2006/relationships/hyperlink" Target="https://www.legifrance.gouv.fr/affichTexteArticle.do?cidTexte=JORFTEXT000019995721&amp;idArticle=JORFARTI000019996094&amp;categorieLien=cid" TargetMode="External"/><Relationship Id="rId662" Type="http://schemas.openxmlformats.org/officeDocument/2006/relationships/hyperlink" Target="https://www.legifrance.gouv.fr/affichCodeArticle.do?cidTexte=LEGITEXT000006070299&amp;idArticle=LEGIARTI000006361425&amp;dateTexte=&amp;categorieLien=cid" TargetMode="External"/><Relationship Id="rId12" Type="http://schemas.openxmlformats.org/officeDocument/2006/relationships/hyperlink" Target="https://www.legifrance.gouv.fr/affichCodeArticle.do?cidTexte=LEGITEXT000006074096&amp;idArticle=LEGIARTI000006824336&amp;dateTexte=&amp;categorieLien=cid" TargetMode="External"/><Relationship Id="rId108" Type="http://schemas.openxmlformats.org/officeDocument/2006/relationships/hyperlink" Target="https://www.legifrance.gouv.fr/affichCodeArticle.do?cidTexte=LEGITEXT000006074096&amp;idArticle=LEGIARTI000020441522&amp;dateTexte=&amp;categorieLien=cid" TargetMode="External"/><Relationship Id="rId315" Type="http://schemas.openxmlformats.org/officeDocument/2006/relationships/hyperlink" Target="https://www.legifrance.gouv.fr/affichCodeArticle.do?cidTexte=LEGITEXT000006074096&amp;idArticle=LEGIARTI000006824251&amp;dateTexte=&amp;categorieLien=cid" TargetMode="External"/><Relationship Id="rId357" Type="http://schemas.openxmlformats.org/officeDocument/2006/relationships/hyperlink" Target="https://www.legifrance.gouv.fr/affichCodeArticle.do?cidTexte=LEGITEXT000006074096&amp;idArticle=LEGIARTI000006824282&amp;dateTexte=&amp;categorieLien=cid" TargetMode="External"/><Relationship Id="rId522" Type="http://schemas.openxmlformats.org/officeDocument/2006/relationships/hyperlink" Target="https://www.legifrance.gouv.fr/affichTexte.do?cidTexte=JORFTEXT000000159413&amp;categorieLien=cid" TargetMode="External"/><Relationship Id="rId54" Type="http://schemas.openxmlformats.org/officeDocument/2006/relationships/hyperlink" Target="https://www.legifrance.gouv.fr/affichCodeArticle.do?cidTexte=LEGITEXT000006074096&amp;idArticle=LEGIARTI000006825181&amp;dateTexte=&amp;categorieLien=cid" TargetMode="External"/><Relationship Id="rId96" Type="http://schemas.openxmlformats.org/officeDocument/2006/relationships/hyperlink" Target="https://www.legifrance.gouv.fr/affichTexteArticle.do;jsessionid=5FF1E359A0ED4667EE19EC861F713053.tplgfr38s_3?idArticle=JORFARTI000028772557&amp;cidTexte=JORFTEXT000028772256&amp;dateTexte=29990101&amp;categorieLien=id" TargetMode="External"/><Relationship Id="rId161" Type="http://schemas.openxmlformats.org/officeDocument/2006/relationships/hyperlink" Target="https://www.legifrance.gouv.fr/affichTexte.do?cidTexte=JORFTEXT000000874247&amp;categorieLien=cid" TargetMode="External"/><Relationship Id="rId217" Type="http://schemas.openxmlformats.org/officeDocument/2006/relationships/hyperlink" Target="https://www.legifrance.gouv.fr/affichTexteArticle.do;jsessionid=5FF1E359A0ED4667EE19EC861F713053.tplgfr38s_3?idArticle=JORFARTI000028772705&amp;cidTexte=JORFTEXT000028772256&amp;dateTexte=29990101&amp;categorieLien=id" TargetMode="External"/><Relationship Id="rId399" Type="http://schemas.openxmlformats.org/officeDocument/2006/relationships/hyperlink" Target="https://www.legifrance.gouv.fr/affichCodeArticle.do?cidTexte=LEGITEXT000006074096&amp;idArticle=LEGIARTI000006824282&amp;dateTexte=&amp;categorieLien=cid" TargetMode="External"/><Relationship Id="rId564" Type="http://schemas.openxmlformats.org/officeDocument/2006/relationships/hyperlink" Target="https://www.legifrance.gouv.fr/affichCodeArticle.do?cidTexte=LEGITEXT000006074075&amp;idArticle=LEGIARTI000006814728&amp;dateTexte=&amp;categorieLien=cid" TargetMode="External"/><Relationship Id="rId259" Type="http://schemas.openxmlformats.org/officeDocument/2006/relationships/hyperlink" Target="https://www.legifrance.gouv.fr/affichTexteArticle.do;jsessionid=5FF1E359A0ED4667EE19EC861F713053.tplgfr38s_3?idArticle=JORFARTI000028773659&amp;cidTexte=JORFTEXT000028772256&amp;dateTexte=29990101&amp;categorieLien=id" TargetMode="External"/><Relationship Id="rId424" Type="http://schemas.openxmlformats.org/officeDocument/2006/relationships/hyperlink" Target="https://www.legifrance.gouv.fr/affichCodeArticle.do?cidTexte=LEGITEXT000006074075&amp;idArticle=LEGIARTI000006814376&amp;dateTexte=&amp;categorieLien=cid" TargetMode="External"/><Relationship Id="rId466" Type="http://schemas.openxmlformats.org/officeDocument/2006/relationships/hyperlink" Target="https://www.legifrance.gouv.fr/affichCodeArticle.do?cidTexte=LEGITEXT000006069577&amp;idArticle=LEGIARTI000006314157&amp;dateTexte=&amp;categorieLien=cid" TargetMode="External"/><Relationship Id="rId631" Type="http://schemas.openxmlformats.org/officeDocument/2006/relationships/hyperlink" Target="https://www.legifrance.gouv.fr/affichTexteArticle.do;jsessionid=5FF1E359A0ED4667EE19EC861F713053.tplgfr38s_3?idArticle=JORFARTI000028774670&amp;cidTexte=JORFTEXT000028772256&amp;dateTexte=29990101&amp;categorieLien=id" TargetMode="External"/><Relationship Id="rId673" Type="http://schemas.openxmlformats.org/officeDocument/2006/relationships/hyperlink" Target="https://www.legifrance.gouv.fr/affichTexte.do?cidTexte=JORFTEXT000000629820&amp;categorieLien=cid" TargetMode="External"/><Relationship Id="rId23" Type="http://schemas.openxmlformats.org/officeDocument/2006/relationships/hyperlink" Target="https://www.legifrance.gouv.fr/affichTexte.do?cidTexte=JORFTEXT000000692718&amp;categorieLien=cid" TargetMode="External"/><Relationship Id="rId119" Type="http://schemas.openxmlformats.org/officeDocument/2006/relationships/hyperlink" Target="https://www.legifrance.gouv.fr/affichCodeArticle.do?cidTexte=LEGITEXT000006074096&amp;idArticle=LEGIARTI000020441526&amp;dateTexte=&amp;categorieLien=cid" TargetMode="External"/><Relationship Id="rId270" Type="http://schemas.openxmlformats.org/officeDocument/2006/relationships/hyperlink" Target="https://www.legifrance.gouv.fr/affichCodeArticle.do?cidTexte=LEGITEXT000006074075&amp;idArticle=LEGIARTI000024544328&amp;dateTexte=&amp;categorieLien=cid" TargetMode="External"/><Relationship Id="rId326" Type="http://schemas.openxmlformats.org/officeDocument/2006/relationships/hyperlink" Target="https://www.legifrance.gouv.fr/affichCodeArticle.do?cidTexte=LEGITEXT000006070633&amp;idArticle=LEGIARTI000006392824&amp;dateTexte=&amp;categorieLien=cid" TargetMode="External"/><Relationship Id="rId533" Type="http://schemas.openxmlformats.org/officeDocument/2006/relationships/hyperlink" Target="https://www.legifrance.gouv.fr/affichCodeArticle.do?cidTexte=LEGITEXT000006070633&amp;idArticle=LEGIARTI000006392555&amp;dateTexte=&amp;categorieLien=cid" TargetMode="External"/><Relationship Id="rId65" Type="http://schemas.openxmlformats.org/officeDocument/2006/relationships/hyperlink" Target="https://www.legifrance.gouv.fr/affichCodeArticle.do?cidTexte=LEGITEXT000006073189&amp;idArticle=LEGIARTI000006743358&amp;dateTexte=&amp;categorieLien=cid" TargetMode="External"/><Relationship Id="rId130" Type="http://schemas.openxmlformats.org/officeDocument/2006/relationships/hyperlink" Target="https://www.legifrance.gouv.fr/affichCodeArticle.do?cidTexte=LEGITEXT000006069565&amp;idArticle=LEGIARTI000006292193&amp;dateTexte=&amp;categorieLien=cid" TargetMode="External"/><Relationship Id="rId368" Type="http://schemas.openxmlformats.org/officeDocument/2006/relationships/hyperlink" Target="https://www.legifrance.gouv.fr/affichTexteArticle.do;jsessionid=5FF1E359A0ED4667EE19EC861F713053.tplgfr38s_3?idArticle=JORFARTI000028774017&amp;cidTexte=JORFTEXT000028772256&amp;dateTexte=29990101&amp;categorieLien=id" TargetMode="External"/><Relationship Id="rId575" Type="http://schemas.openxmlformats.org/officeDocument/2006/relationships/hyperlink" Target="https://www.legifrance.gouv.fr/affichTexteArticle.do;jsessionid=5FF1E359A0ED4667EE19EC861F713053.tplgfr38s_3?idArticle=JORFARTI000028774449&amp;cidTexte=JORFTEXT000028772256&amp;dateTexte=29990101&amp;categorieLien=id" TargetMode="External"/><Relationship Id="rId172" Type="http://schemas.openxmlformats.org/officeDocument/2006/relationships/hyperlink" Target="https://www.legifrance.gouv.fr/affichCodeArticle.do?cidTexte=LEGITEXT000006070719&amp;idArticle=LEGIARTI000006417944&amp;dateTexte=&amp;categorieLien=cid" TargetMode="External"/><Relationship Id="rId228" Type="http://schemas.openxmlformats.org/officeDocument/2006/relationships/hyperlink" Target="https://www.legifrance.gouv.fr/affichTexteArticle.do?cidTexte=JORFTEXT000000880200&amp;idArticle=LEGIARTI000006471588&amp;dateTexte=&amp;categorieLien=cid" TargetMode="External"/><Relationship Id="rId435" Type="http://schemas.openxmlformats.org/officeDocument/2006/relationships/hyperlink" Target="https://www.legifrance.gouv.fr/affichCode.do?cidTexte=LEGITEXT000006072050&amp;dateTexte=&amp;categorieLien=cid" TargetMode="External"/><Relationship Id="rId477" Type="http://schemas.openxmlformats.org/officeDocument/2006/relationships/hyperlink" Target="https://www.legifrance.gouv.fr/affichTexteArticle.do;jsessionid=5FF1E359A0ED4667EE19EC861F713053.tplgfr38s_3?idArticle=JORFARTI000028774240&amp;cidTexte=JORFTEXT000028772256&amp;dateTexte=29990101&amp;categorieLien=id" TargetMode="External"/><Relationship Id="rId600" Type="http://schemas.openxmlformats.org/officeDocument/2006/relationships/hyperlink" Target="https://www.legifrance.gouv.fr/affichTexteArticle.do;jsessionid=5FF1E359A0ED4667EE19EC861F713053.tplgfr38s_3?idArticle=JORFARTI000028773207&amp;cidTexte=JORFTEXT000028772256&amp;dateTexte=29990101&amp;categorieLien=id" TargetMode="External"/><Relationship Id="rId642" Type="http://schemas.openxmlformats.org/officeDocument/2006/relationships/hyperlink" Target="https://www.legifrance.gouv.fr/affichCodeArticle.do?cidTexte=LEGITEXT000006074075&amp;idArticle=LEGIARTI000023370698&amp;dateTexte=&amp;categorieLien=cid" TargetMode="External"/><Relationship Id="rId684" Type="http://schemas.openxmlformats.org/officeDocument/2006/relationships/hyperlink" Target="https://www.legifrance.gouv.fr/affichCodeArticle.do?cidTexte=LEGITEXT000006074220&amp;idArticle=LEGIARTI000006832897&amp;dateTexte=&amp;categorieLien=cid" TargetMode="External"/><Relationship Id="rId281" Type="http://schemas.openxmlformats.org/officeDocument/2006/relationships/hyperlink" Target="https://www.legifrance.gouv.fr/affichCodeArticle.do?cidTexte=LEGITEXT000006074075&amp;idArticle=LEGIARTI000006814371&amp;dateTexte=&amp;categorieLien=cid" TargetMode="External"/><Relationship Id="rId337" Type="http://schemas.openxmlformats.org/officeDocument/2006/relationships/hyperlink" Target="https://www.legifrance.gouv.fr/affichTexteArticle.do?cidTexte=JORFTEXT000028526298&amp;idArticle=JORFARTI000028526984&amp;categorieLien=cid" TargetMode="External"/><Relationship Id="rId502" Type="http://schemas.openxmlformats.org/officeDocument/2006/relationships/hyperlink" Target="https://www.legifrance.gouv.fr/affichTexteArticle.do;jsessionid=5FF1E359A0ED4667EE19EC861F713053.tplgfr38s_3?idArticle=JORFARTI000028772866&amp;cidTexte=JORFTEXT000028772256&amp;dateTexte=29990101&amp;categorieLien=id" TargetMode="External"/><Relationship Id="rId34" Type="http://schemas.openxmlformats.org/officeDocument/2006/relationships/hyperlink" Target="https://www.legifrance.gouv.fr/affichCodeArticle.do?cidTexte=LEGITEXT000006074075&amp;idArticle=LEGIARTI000006815932&amp;dateTexte=&amp;categorieLien=cid" TargetMode="External"/><Relationship Id="rId76" Type="http://schemas.openxmlformats.org/officeDocument/2006/relationships/hyperlink" Target="https://www.legifrance.gouv.fr/affichTexteArticle.do;jsessionid=5FF1E359A0ED4667EE19EC861F713053.tplgfr38s_3?idArticle=JORFARTI000028772506&amp;cidTexte=JORFTEXT000028772256&amp;dateTexte=29990101&amp;categorieLien=id" TargetMode="External"/><Relationship Id="rId141" Type="http://schemas.openxmlformats.org/officeDocument/2006/relationships/hyperlink" Target="https://www.legifrance.gouv.fr/affichCodeArticle.do?cidTexte=LEGITEXT000006070719&amp;idArticle=LEGIARTI000006417256&amp;dateTexte=&amp;categorieLien=cid" TargetMode="External"/><Relationship Id="rId379" Type="http://schemas.openxmlformats.org/officeDocument/2006/relationships/hyperlink" Target="https://www.legifrance.gouv.fr/affichTexte.do?cidTexte=JORFTEXT000000880200&amp;categorieLien=cid" TargetMode="External"/><Relationship Id="rId544" Type="http://schemas.openxmlformats.org/officeDocument/2006/relationships/hyperlink" Target="https://www.legifrance.gouv.fr/affichCodeArticle.do?cidTexte=LEGITEXT000006071367&amp;idArticle=LEGIARTI000022524799&amp;dateTexte=&amp;categorieLien=cid" TargetMode="External"/><Relationship Id="rId586" Type="http://schemas.openxmlformats.org/officeDocument/2006/relationships/hyperlink" Target="https://www.legifrance.gouv.fr/affichTexteArticle.do;jsessionid=5FF1E359A0ED4667EE19EC861F713053.tplgfr38s_3?idArticle=JORFARTI000028774521&amp;cidTexte=JORFTEXT000028772256&amp;dateTexte=29990101&amp;categorieLien=id" TargetMode="External"/><Relationship Id="rId7" Type="http://schemas.openxmlformats.org/officeDocument/2006/relationships/hyperlink" Target="https://www.legifrance.gouv.fr/affichTexte.do?cidTexte=JORFTEXT000000509310&amp;idSectionTA=LEGISCTA000006118901&amp;dateTexte=&amp;categorieLien=cid" TargetMode="External"/><Relationship Id="rId183" Type="http://schemas.openxmlformats.org/officeDocument/2006/relationships/hyperlink" Target="https://www.legifrance.gouv.fr/affichCodeArticle.do?cidTexte=LEGITEXT000006074069&amp;idArticle=LEGIARTI000020444520&amp;dateTexte=&amp;categorieLien=cid" TargetMode="External"/><Relationship Id="rId239" Type="http://schemas.openxmlformats.org/officeDocument/2006/relationships/hyperlink" Target="https://www.legifrance.gouv.fr/affichTexte.do?cidTexte=JORFTEXT000000512228&amp;categorieLien=cid" TargetMode="External"/><Relationship Id="rId390" Type="http://schemas.openxmlformats.org/officeDocument/2006/relationships/hyperlink" Target="https://www.legifrance.gouv.fr/affichTexteArticle.do?cidTexte=JORFTEXT000000509310&amp;idArticle=LEGIARTI000006475058&amp;dateTexte=&amp;categorieLien=cid" TargetMode="External"/><Relationship Id="rId404" Type="http://schemas.openxmlformats.org/officeDocument/2006/relationships/hyperlink" Target="https://www.legifrance.gouv.fr/affichTexteArticle.do;jsessionid=5FF1E359A0ED4667EE19EC861F713053.tplgfr38s_3?idArticle=JORFARTI000028774113&amp;cidTexte=JORFTEXT000028772256&amp;dateTexte=29990101&amp;categorieLien=id" TargetMode="External"/><Relationship Id="rId446" Type="http://schemas.openxmlformats.org/officeDocument/2006/relationships/hyperlink" Target="https://www.legifrance.gouv.fr/affichCodeArticle.do?cidTexte=LEGITEXT000006074096&amp;idArticle=LEGIARTI000006825544&amp;dateTexte=&amp;categorieLien=cid" TargetMode="External"/><Relationship Id="rId611" Type="http://schemas.openxmlformats.org/officeDocument/2006/relationships/hyperlink" Target="https://www.legifrance.gouv.fr/affichTexte.do?cidTexte=JORFTEXT000028772256&amp;categorieLien=cid" TargetMode="External"/><Relationship Id="rId653" Type="http://schemas.openxmlformats.org/officeDocument/2006/relationships/hyperlink" Target="https://www.legifrance.gouv.fr/affichCodeArticle.do?cidTexte=LEGITEXT000006074075&amp;idArticle=LEGIARTI000006815419&amp;dateTexte=&amp;categorieLien=cid" TargetMode="External"/><Relationship Id="rId250" Type="http://schemas.openxmlformats.org/officeDocument/2006/relationships/hyperlink" Target="https://www.legifrance.gouv.fr/affichTexte.do?cidTexte=JORFTEXT000000880200&amp;categorieLien=cid" TargetMode="External"/><Relationship Id="rId292" Type="http://schemas.openxmlformats.org/officeDocument/2006/relationships/hyperlink" Target="https://www.legifrance.gouv.fr/affichTexte.do?cidTexte=JORFTEXT000000880200&amp;categorieLien=cid" TargetMode="External"/><Relationship Id="rId306" Type="http://schemas.openxmlformats.org/officeDocument/2006/relationships/hyperlink" Target="https://www.legifrance.gouv.fr/affichTexteArticle.do?cidTexte=JORFTEXT000000880200&amp;idArticle=LEGIARTI000006471426&amp;dateTexte=&amp;categorieLien=cid" TargetMode="External"/><Relationship Id="rId488" Type="http://schemas.openxmlformats.org/officeDocument/2006/relationships/hyperlink" Target="https://www.legifrance.gouv.fr/affichTexte.do?cidTexte=JORFTEXT000000509310&amp;categorieLien=cid" TargetMode="External"/><Relationship Id="rId695" Type="http://schemas.openxmlformats.org/officeDocument/2006/relationships/hyperlink" Target="https://www.legifrance.gouv.fr/affichTexte.do?cidTexte=JORFTEXT000028346965&amp;categorieLien=cid" TargetMode="External"/><Relationship Id="rId709" Type="http://schemas.openxmlformats.org/officeDocument/2006/relationships/hyperlink" Target="https://www.legifrance.gouv.fr/affichCodeArticle.do?cidTexte=LEGITEXT000006070633&amp;idArticle=LEGIARTI000028528966&amp;dateTexte=&amp;categorieLien=cid" TargetMode="External"/><Relationship Id="rId45" Type="http://schemas.openxmlformats.org/officeDocument/2006/relationships/hyperlink" Target="https://www.legifrance.gouv.fr/affichTexteArticle.do;jsessionid=5FF1E359A0ED4667EE19EC861F713053.tplgfr38s_3?idArticle=JORFARTI000028772370&amp;cidTexte=JORFTEXT000028772256&amp;dateTexte=29990101&amp;categorieLien=id" TargetMode="External"/><Relationship Id="rId87" Type="http://schemas.openxmlformats.org/officeDocument/2006/relationships/hyperlink" Target="https://www.legifrance.gouv.fr/affichTexteArticle.do?cidTexte=JORFTEXT000000509310&amp;idArticle=LEGIARTI000006475238&amp;dateTexte=&amp;categorieLien=cid" TargetMode="External"/><Relationship Id="rId110" Type="http://schemas.openxmlformats.org/officeDocument/2006/relationships/hyperlink" Target="https://www.legifrance.gouv.fr/affichCodeArticle.do?cidTexte=LEGITEXT000006072665&amp;idArticle=LEGIARTI000006686551&amp;dateTexte=&amp;categorieLien=cid" TargetMode="External"/><Relationship Id="rId348" Type="http://schemas.openxmlformats.org/officeDocument/2006/relationships/hyperlink" Target="https://www.legifrance.gouv.fr/affichTexte.do?cidTexte=JORFTEXT000000880200&amp;categorieLien=cid" TargetMode="External"/><Relationship Id="rId513" Type="http://schemas.openxmlformats.org/officeDocument/2006/relationships/hyperlink" Target="https://www.legifrance.gouv.fr/affichCodeArticle.do?cidTexte=LEGITEXT000006074096&amp;idArticle=LEGIARTI000006825132&amp;dateTexte=&amp;categorieLien=cid" TargetMode="External"/><Relationship Id="rId555" Type="http://schemas.openxmlformats.org/officeDocument/2006/relationships/hyperlink" Target="https://www.legifrance.gouv.fr/affichCodeArticle.do?cidTexte=LEGITEXT000006074075&amp;idArticle=LEGIARTI000006814665&amp;dateTexte=&amp;categorieLien=cid" TargetMode="External"/><Relationship Id="rId597" Type="http://schemas.openxmlformats.org/officeDocument/2006/relationships/hyperlink" Target="https://www.legifrance.gouv.fr/affichCodeArticle.do?cidTexte=LEGITEXT000006074075&amp;idArticle=LEGIARTI000006815166&amp;dateTexte=&amp;categorieLien=cid" TargetMode="External"/><Relationship Id="rId152" Type="http://schemas.openxmlformats.org/officeDocument/2006/relationships/hyperlink" Target="https://www.legifrance.gouv.fr/affichCodeArticle.do?cidTexte=LEGITEXT000006069565&amp;idArticle=LEGIARTI000006292572&amp;dateTexte=&amp;categorieLien=cid" TargetMode="External"/><Relationship Id="rId194" Type="http://schemas.openxmlformats.org/officeDocument/2006/relationships/hyperlink" Target="https://www.legifrance.gouv.fr/affichTexteArticle.do;jsessionid=5FF1E359A0ED4667EE19EC861F713053.tplgfr38s_3?idArticle=JORFARTI000028774907&amp;cidTexte=JORFTEXT000028772256&amp;dateTexte=29990101&amp;categorieLien=id" TargetMode="External"/><Relationship Id="rId208" Type="http://schemas.openxmlformats.org/officeDocument/2006/relationships/hyperlink" Target="https://www.legifrance.gouv.fr/affichTexteArticle.do;jsessionid=5FF1E359A0ED4667EE19EC861F713053.tplgfr38s_3?idArticle=JORFARTI000028773423&amp;cidTexte=JORFTEXT000028772256&amp;dateTexte=29990101&amp;categorieLien=id" TargetMode="External"/><Relationship Id="rId415" Type="http://schemas.openxmlformats.org/officeDocument/2006/relationships/hyperlink" Target="https://www.legifrance.gouv.fr/affichTexteArticle.do?cidTexte=JORFTEXT000000206894&amp;idArticle=LEGIARTI000006657923&amp;dateTexte=&amp;categorieLien=cid" TargetMode="External"/><Relationship Id="rId457" Type="http://schemas.openxmlformats.org/officeDocument/2006/relationships/hyperlink" Target="https://www.legifrance.gouv.fr/affichTexte.do?cidTexte=JORFTEXT000028772256&amp;categorieLien=cid" TargetMode="External"/><Relationship Id="rId622" Type="http://schemas.openxmlformats.org/officeDocument/2006/relationships/hyperlink" Target="https://www.legifrance.gouv.fr/affichTexteArticle.do;jsessionid=5FF1E359A0ED4667EE19EC861F713053.tplgfr38s_3?idArticle=JORFARTI000028774641&amp;cidTexte=JORFTEXT000028772256&amp;dateTexte=29990101&amp;categorieLien=id" TargetMode="External"/><Relationship Id="rId261" Type="http://schemas.openxmlformats.org/officeDocument/2006/relationships/hyperlink" Target="https://www.legifrance.gouv.fr/affichCodeArticle.do?cidTexte=LEGITEXT000005634379&amp;idArticle=LEGIARTI000006241664&amp;dateTexte=&amp;categorieLien=cid" TargetMode="External"/><Relationship Id="rId499" Type="http://schemas.openxmlformats.org/officeDocument/2006/relationships/hyperlink" Target="https://www.legifrance.gouv.fr/affichCodeArticle.do?cidTexte=LEGITEXT000006074096&amp;idArticle=LEGIARTI000006825529&amp;dateTexte=&amp;categorieLien=cid" TargetMode="External"/><Relationship Id="rId664" Type="http://schemas.openxmlformats.org/officeDocument/2006/relationships/hyperlink" Target="https://www.legifrance.gouv.fr/affichTexteArticle.do;jsessionid=5FF1E359A0ED4667EE19EC861F713053.tplgfr38s_3?idArticle=JORFARTI000028774789&amp;cidTexte=JORFTEXT000028772256&amp;dateTexte=29990101&amp;categorieLien=id" TargetMode="External"/><Relationship Id="rId14" Type="http://schemas.openxmlformats.org/officeDocument/2006/relationships/hyperlink" Target="https://www.legifrance.gouv.fr/affichCodeArticle.do?cidTexte=LEGITEXT000006072665&amp;idArticle=LEGIARTI000006686754&amp;dateTexte=&amp;categorieLien=cid" TargetMode="External"/><Relationship Id="rId56" Type="http://schemas.openxmlformats.org/officeDocument/2006/relationships/hyperlink" Target="https://www.legifrance.gouv.fr/affichCodeArticle.do?cidTexte=LEGITEXT000006074096&amp;idArticle=LEGIARTI000020441522&amp;dateTexte=&amp;categorieLien=cid" TargetMode="External"/><Relationship Id="rId317" Type="http://schemas.openxmlformats.org/officeDocument/2006/relationships/hyperlink" Target="https://www.legifrance.gouv.fr/affichCodeArticle.do?cidTexte=LEGITEXT000006074096&amp;idArticle=LEGIARTI000006825761&amp;dateTexte=&amp;categorieLien=cid" TargetMode="External"/><Relationship Id="rId359" Type="http://schemas.openxmlformats.org/officeDocument/2006/relationships/hyperlink" Target="https://www.legifrance.gouv.fr/affichCodeArticle.do?cidTexte=LEGITEXT000006072665&amp;idArticle=LEGIARTI000006686605&amp;dateTexte=&amp;categorieLien=cid" TargetMode="External"/><Relationship Id="rId524" Type="http://schemas.openxmlformats.org/officeDocument/2006/relationships/hyperlink" Target="https://www.legifrance.gouv.fr/affichTexte.do?cidTexte=JORFTEXT000000428979&amp;categorieLien=cid" TargetMode="External"/><Relationship Id="rId566" Type="http://schemas.openxmlformats.org/officeDocument/2006/relationships/hyperlink" Target="https://www.legifrance.gouv.fr/affichTexteArticle.do?cidTexte=JORFTEXT000000583573&amp;idArticle=LEGIARTI000006355738&amp;dateTexte=&amp;categorieLien=cid" TargetMode="External"/><Relationship Id="rId98" Type="http://schemas.openxmlformats.org/officeDocument/2006/relationships/hyperlink" Target="https://www.legifrance.gouv.fr/affichTexte.do?cidTexte=JORFTEXT000000874247&amp;categorieLien=cid" TargetMode="External"/><Relationship Id="rId121" Type="http://schemas.openxmlformats.org/officeDocument/2006/relationships/hyperlink" Target="https://www.legifrance.gouv.fr/affichTexte.do?cidTexte=JORFTEXT000000874247&amp;categorieLien=cid" TargetMode="External"/><Relationship Id="rId163" Type="http://schemas.openxmlformats.org/officeDocument/2006/relationships/hyperlink" Target="https://www.legifrance.gouv.fr/affichCodeArticle.do?cidTexte=LEGITEXT000006074069&amp;idArticle=LEGIARTI000006796473&amp;dateTexte=&amp;categorieLien=cid" TargetMode="External"/><Relationship Id="rId219" Type="http://schemas.openxmlformats.org/officeDocument/2006/relationships/hyperlink" Target="https://www.legifrance.gouv.fr/affichTexteArticle.do;jsessionid=5FF1E359A0ED4667EE19EC861F713053.tplgfr38s_3?idArticle=JORFARTI000028773437&amp;cidTexte=JORFTEXT000028772256&amp;dateTexte=29990101&amp;categorieLien=id" TargetMode="External"/><Relationship Id="rId370" Type="http://schemas.openxmlformats.org/officeDocument/2006/relationships/hyperlink" Target="https://www.legifrance.gouv.fr/affichCodeArticle.do?cidTexte=LEGITEXT000006074096&amp;idArticle=LEGIARTI000006824251&amp;dateTexte=&amp;categorieLien=cid" TargetMode="External"/><Relationship Id="rId426" Type="http://schemas.openxmlformats.org/officeDocument/2006/relationships/hyperlink" Target="https://www.legifrance.gouv.fr/affichTexteArticle.do;jsessionid=5FF1E359A0ED4667EE19EC861F713053.tplgfr38s_3?idArticle=JORFARTI000028772765&amp;cidTexte=JORFTEXT000028772256&amp;dateTexte=29990101&amp;categorieLien=id" TargetMode="External"/><Relationship Id="rId633" Type="http://schemas.openxmlformats.org/officeDocument/2006/relationships/hyperlink" Target="https://www.legifrance.gouv.fr/affichTexte.do?cidTexte=JORFTEXT000028772256&amp;categorieLien=cid" TargetMode="External"/><Relationship Id="rId230" Type="http://schemas.openxmlformats.org/officeDocument/2006/relationships/hyperlink" Target="https://www.legifrance.gouv.fr/affichTexteArticle.do;jsessionid=5FF1E359A0ED4667EE19EC861F713053.tplgfr38s_3?idArticle=JORFARTI000028773460&amp;cidTexte=JORFTEXT000028772256&amp;dateTexte=29990101&amp;categorieLien=id" TargetMode="External"/><Relationship Id="rId468" Type="http://schemas.openxmlformats.org/officeDocument/2006/relationships/hyperlink" Target="https://www.legifrance.gouv.fr/affichTexte.do?cidTexte=JORFTEXT000028772256&amp;categorieLien=cid" TargetMode="External"/><Relationship Id="rId675" Type="http://schemas.openxmlformats.org/officeDocument/2006/relationships/hyperlink" Target="https://www.legifrance.gouv.fr/affichTexte.do?cidTexte=JORFTEXT000000693683&amp;categorieLien=cid" TargetMode="External"/><Relationship Id="rId25" Type="http://schemas.openxmlformats.org/officeDocument/2006/relationships/hyperlink" Target="https://www.legifrance.gouv.fr/affichCodeArticle.do?cidTexte=LEGITEXT000006074096&amp;idArticle=LEGIARTI000006824113&amp;dateTexte=&amp;categorieLien=cid" TargetMode="External"/><Relationship Id="rId67" Type="http://schemas.openxmlformats.org/officeDocument/2006/relationships/hyperlink" Target="https://www.legifrance.gouv.fr/affichTexteArticle.do?cidTexte=JORFTEXT000000874247&amp;idArticle=LEGIARTI000006474631&amp;dateTexte=&amp;categorieLien=cid" TargetMode="External"/><Relationship Id="rId272" Type="http://schemas.openxmlformats.org/officeDocument/2006/relationships/hyperlink" Target="https://www.legifrance.gouv.fr/affichCodeArticle.do?cidTexte=LEGITEXT000006074075&amp;idArticle=LEGIARTI000006815323&amp;dateTexte=&amp;categorieLien=cid" TargetMode="External"/><Relationship Id="rId328" Type="http://schemas.openxmlformats.org/officeDocument/2006/relationships/hyperlink" Target="https://www.legifrance.gouv.fr/affichCodeArticle.do?cidTexte=LEGITEXT000006070633&amp;idArticle=LEGIARTI000006392824&amp;dateTexte=&amp;categorieLien=cid" TargetMode="External"/><Relationship Id="rId535" Type="http://schemas.openxmlformats.org/officeDocument/2006/relationships/hyperlink" Target="https://www.legifrance.gouv.fr/affichCodeArticle.do?cidTexte=LEGITEXT000020908868&amp;idArticle=LEGIARTI000020907901&amp;dateTexte=&amp;categorieLien=cid" TargetMode="External"/><Relationship Id="rId577" Type="http://schemas.openxmlformats.org/officeDocument/2006/relationships/hyperlink" Target="https://www.legifrance.gouv.fr/affichCodeArticle.do?cidTexte=LEGITEXT000006074096&amp;idArticle=LEGIARTI000006824763&amp;dateTexte=&amp;categorieLien=cid" TargetMode="External"/><Relationship Id="rId700" Type="http://schemas.openxmlformats.org/officeDocument/2006/relationships/hyperlink" Target="https://www.legifrance.gouv.fr/affichCodeArticle.do?cidTexte=LEGITEXT000006069583&amp;idArticle=LEGIARTI000006315562&amp;dateTexte=&amp;categorieLien=cid" TargetMode="External"/><Relationship Id="rId132" Type="http://schemas.openxmlformats.org/officeDocument/2006/relationships/hyperlink" Target="https://www.legifrance.gouv.fr/affichCodeArticle.do?cidTexte=LEGITEXT000006072050&amp;idArticle=LEGIARTI000006901596&amp;dateTexte=&amp;categorieLien=cid" TargetMode="External"/><Relationship Id="rId174" Type="http://schemas.openxmlformats.org/officeDocument/2006/relationships/hyperlink" Target="https://www.legifrance.gouv.fr/affichCodeArticle.do?cidTexte=LEGITEXT000006074096&amp;idArticle=LEGIARTI000006825344&amp;dateTexte=&amp;categorieLien=cid" TargetMode="External"/><Relationship Id="rId381" Type="http://schemas.openxmlformats.org/officeDocument/2006/relationships/hyperlink" Target="https://www.legifrance.gouv.fr/affichCodeArticle.do?cidTexte=LEGITEXT000006072665&amp;idArticle=LEGIARTI000006686605&amp;dateTexte=&amp;categorieLien=cid" TargetMode="External"/><Relationship Id="rId602" Type="http://schemas.openxmlformats.org/officeDocument/2006/relationships/hyperlink" Target="https://www.legifrance.gouv.fr/affichTexteArticle.do;jsessionid=5FF1E359A0ED4667EE19EC861F713053.tplgfr38s_3?idArticle=JORFARTI000028774531&amp;cidTexte=JORFTEXT000028772256&amp;dateTexte=29990101&amp;categorieLien=id" TargetMode="External"/><Relationship Id="rId241" Type="http://schemas.openxmlformats.org/officeDocument/2006/relationships/hyperlink" Target="https://www.legifrance.gouv.fr/affichTexteArticle.do;jsessionid=5FF1E359A0ED4667EE19EC861F713053.tplgfr38s_3?idArticle=JORFARTI000028773535&amp;cidTexte=JORFTEXT000028772256&amp;dateTexte=29990101&amp;categorieLien=id" TargetMode="External"/><Relationship Id="rId437" Type="http://schemas.openxmlformats.org/officeDocument/2006/relationships/hyperlink" Target="https://www.legifrance.gouv.fr/affichCodeArticle.do?cidTexte=LEGITEXT000006070719&amp;idArticle=LEGIARTI000006417946&amp;dateTexte=&amp;categorieLien=cid" TargetMode="External"/><Relationship Id="rId479" Type="http://schemas.openxmlformats.org/officeDocument/2006/relationships/hyperlink" Target="https://www.legifrance.gouv.fr/affichCodeArticle.do?cidTexte=LEGITEXT000006069577&amp;idArticle=LEGIARTI000006310103&amp;dateTexte=&amp;categorieLien=cid" TargetMode="External"/><Relationship Id="rId644" Type="http://schemas.openxmlformats.org/officeDocument/2006/relationships/hyperlink" Target="https://www.legifrance.gouv.fr/affichTexteArticle.do;jsessionid=5FF1E359A0ED4667EE19EC861F713053.tplgfr38s_3?idArticle=JORFARTI000028774723&amp;cidTexte=JORFTEXT000028772256&amp;dateTexte=29990101&amp;categorieLien=id" TargetMode="External"/><Relationship Id="rId686" Type="http://schemas.openxmlformats.org/officeDocument/2006/relationships/hyperlink" Target="https://www.legifrance.gouv.fr/affichTexteArticle.do;jsessionid=5FF1E359A0ED4667EE19EC861F713053.tplgfr38s_3?idArticle=JORFARTI000028773245&amp;cidTexte=JORFTEXT000028772256&amp;dateTexte=29990101&amp;categorieLien=id" TargetMode="External"/><Relationship Id="rId36" Type="http://schemas.openxmlformats.org/officeDocument/2006/relationships/hyperlink" Target="https://www.legifrance.gouv.fr/affichCodeArticle.do?cidTexte=LEGITEXT000006074075&amp;idArticle=LEGIARTI000006815917&amp;dateTexte=&amp;categorieLien=cid" TargetMode="External"/><Relationship Id="rId283" Type="http://schemas.openxmlformats.org/officeDocument/2006/relationships/hyperlink" Target="https://www.legifrance.gouv.fr/affichTexteArticle.do;jsessionid=5FF1E359A0ED4667EE19EC861F713053.tplgfr38s_3?idArticle=JORFARTI000028773754&amp;cidTexte=JORFTEXT000028772256&amp;dateTexte=29990101&amp;categorieLien=id" TargetMode="External"/><Relationship Id="rId339" Type="http://schemas.openxmlformats.org/officeDocument/2006/relationships/hyperlink" Target="https://www.legifrance.gouv.fr/affichTexteArticle.do;jsessionid=5FF1E359A0ED4667EE19EC861F713053.tplgfr38s_3?idArticle=JORFARTI000028773919&amp;cidTexte=JORFTEXT000028772256&amp;dateTexte=29990101&amp;categorieLien=id" TargetMode="External"/><Relationship Id="rId490" Type="http://schemas.openxmlformats.org/officeDocument/2006/relationships/hyperlink" Target="https://www.legifrance.gouv.fr/affichTexteArticle.do;jsessionid=5FF1E359A0ED4667EE19EC861F713053.tplgfr38s_3?idArticle=JORFARTI000028774306&amp;cidTexte=JORFTEXT000028772256&amp;dateTexte=29990101&amp;categorieLien=id" TargetMode="External"/><Relationship Id="rId504" Type="http://schemas.openxmlformats.org/officeDocument/2006/relationships/hyperlink" Target="https://www.legifrance.gouv.fr/affichCodeArticle.do?cidTexte=LEGITEXT000006070633&amp;idArticle=LEGIARTI000023241655&amp;dateTexte=&amp;categorieLien=cid" TargetMode="External"/><Relationship Id="rId546" Type="http://schemas.openxmlformats.org/officeDocument/2006/relationships/hyperlink" Target="https://www.legifrance.gouv.fr/affichCode.do?cidTexte=LEGITEXT000006070633&amp;dateTexte=&amp;categorieLien=cid" TargetMode="External"/><Relationship Id="rId711" Type="http://schemas.openxmlformats.org/officeDocument/2006/relationships/hyperlink" Target="https://www.legifrance.gouv.fr/jo_pdf.do?id=JORFTEXT000028772256" TargetMode="External"/><Relationship Id="rId78" Type="http://schemas.openxmlformats.org/officeDocument/2006/relationships/hyperlink" Target="https://www.legifrance.gouv.fr/affichTexteArticle.do;jsessionid=5FF1E359A0ED4667EE19EC861F713053.tplgfr38s_3?idArticle=JORFARTI000028772510&amp;cidTexte=JORFTEXT000028772256&amp;dateTexte=29990101&amp;categorieLien=id" TargetMode="External"/><Relationship Id="rId101" Type="http://schemas.openxmlformats.org/officeDocument/2006/relationships/hyperlink" Target="https://www.legifrance.gouv.fr/affichCodeArticle.do?cidTexte=LEGITEXT000006070716&amp;idArticle=LEGIARTI000006411325&amp;dateTexte=&amp;categorieLien=cid" TargetMode="External"/><Relationship Id="rId143" Type="http://schemas.openxmlformats.org/officeDocument/2006/relationships/hyperlink" Target="https://www.legifrance.gouv.fr/affichTexteArticle.do;jsessionid=5FF1E359A0ED4667EE19EC861F713053.tplgfr38s_3?idArticle=JORFARTI000028773295&amp;cidTexte=JORFTEXT000028772256&amp;dateTexte=29990101&amp;categorieLien=id" TargetMode="External"/><Relationship Id="rId185" Type="http://schemas.openxmlformats.org/officeDocument/2006/relationships/hyperlink" Target="https://www.legifrance.gouv.fr/affichCodeArticle.do?cidTexte=LEGITEXT000006074096&amp;idArticle=LEGIARTI000020441522&amp;dateTexte=&amp;categorieLien=cid" TargetMode="External"/><Relationship Id="rId350" Type="http://schemas.openxmlformats.org/officeDocument/2006/relationships/hyperlink" Target="https://www.legifrance.gouv.fr/affichCodeArticle.do?cidTexte=LEGITEXT000006074096&amp;idArticle=LEGIARTI000006825797&amp;dateTexte=&amp;categorieLien=cid" TargetMode="External"/><Relationship Id="rId406" Type="http://schemas.openxmlformats.org/officeDocument/2006/relationships/hyperlink" Target="https://www.legifrance.gouv.fr/affichTexte.do?cidTexte=JORFTEXT000000159413&amp;categorieLien=cid" TargetMode="External"/><Relationship Id="rId588" Type="http://schemas.openxmlformats.org/officeDocument/2006/relationships/hyperlink" Target="https://www.legifrance.gouv.fr/affichTexteArticle.do;jsessionid=5FF1E359A0ED4667EE19EC861F713053.tplgfr38s_3?idArticle=JORFARTI000028773183&amp;cidTexte=JORFTEXT000028772256&amp;dateTexte=29990101&amp;categorieLien=id" TargetMode="External"/><Relationship Id="rId9" Type="http://schemas.openxmlformats.org/officeDocument/2006/relationships/hyperlink" Target="https://www.legifrance.gouv.fr/affichCode.do?cidTexte=LEGITEXT000006074096&amp;dateTexte=&amp;categorieLien=cid" TargetMode="External"/><Relationship Id="rId210" Type="http://schemas.openxmlformats.org/officeDocument/2006/relationships/hyperlink" Target="https://www.legifrance.gouv.fr/affichTexteArticle.do?cidTexte=JORFTEXT000000537611&amp;idArticle=LEGIARTI000006491177&amp;dateTexte=&amp;categorieLien=cid" TargetMode="External"/><Relationship Id="rId392" Type="http://schemas.openxmlformats.org/officeDocument/2006/relationships/hyperlink" Target="https://www.legifrance.gouv.fr/affichTexteArticle.do;jsessionid=5FF1E359A0ED4667EE19EC861F713053.tplgfr38s_3?idArticle=JORFARTI000028774081&amp;cidTexte=JORFTEXT000028772256&amp;dateTexte=29990101&amp;categorieLien=id" TargetMode="External"/><Relationship Id="rId448" Type="http://schemas.openxmlformats.org/officeDocument/2006/relationships/hyperlink" Target="https://www.legifrance.gouv.fr/affichCodeArticle.do?cidTexte=LEGITEXT000006074096&amp;idArticle=LEGIARTI000006825754&amp;dateTexte=&amp;categorieLien=cid" TargetMode="External"/><Relationship Id="rId613" Type="http://schemas.openxmlformats.org/officeDocument/2006/relationships/hyperlink" Target="https://www.legifrance.gouv.fr/affichCodeArticle.do?cidTexte=LEGITEXT000006074096&amp;idArticle=LEGIARTI000006825181&amp;dateTexte=&amp;categorieLien=cid" TargetMode="External"/><Relationship Id="rId655" Type="http://schemas.openxmlformats.org/officeDocument/2006/relationships/hyperlink" Target="https://www.legifrance.gouv.fr/affichTexte.do?cidTexte=JORFTEXT000022470434&amp;categorieLien=cid" TargetMode="External"/><Relationship Id="rId697" Type="http://schemas.openxmlformats.org/officeDocument/2006/relationships/hyperlink" Target="https://www.legifrance.gouv.fr/affichTexteArticle.do;jsessionid=5FF1E359A0ED4667EE19EC861F713053.tplgfr38s_3?idArticle=JORFARTI000028773261&amp;cidTexte=JORFTEXT000028772256&amp;dateTexte=29990101&amp;categorieLien=id" TargetMode="External"/><Relationship Id="rId252" Type="http://schemas.openxmlformats.org/officeDocument/2006/relationships/hyperlink" Target="https://www.legifrance.gouv.fr/affichTexteArticle.do?cidTexte=JORFTEXT000000692718&amp;idArticle=LEGIARTI000006464779&amp;dateTexte=&amp;categorieLien=cid" TargetMode="External"/><Relationship Id="rId294" Type="http://schemas.openxmlformats.org/officeDocument/2006/relationships/hyperlink" Target="https://www.legifrance.gouv.fr/affichTexteArticle.do?cidTexte=JORFTEXT000000880200&amp;idArticle=LEGIARTI000006471846&amp;dateTexte=&amp;categorieLien=cid" TargetMode="External"/><Relationship Id="rId308" Type="http://schemas.openxmlformats.org/officeDocument/2006/relationships/hyperlink" Target="https://www.legifrance.gouv.fr/affichCodeArticle.do?cidTexte=LEGITEXT000006074224&amp;idArticle=LEGIARTI000006840114&amp;dateTexte=&amp;categorieLien=cid" TargetMode="External"/><Relationship Id="rId515" Type="http://schemas.openxmlformats.org/officeDocument/2006/relationships/hyperlink" Target="https://www.legifrance.gouv.fr/affichCodeArticle.do?cidTexte=LEGITEXT000006074096&amp;idArticle=LEGIARTI000006824884&amp;dateTexte=&amp;categorieLien=cid" TargetMode="External"/><Relationship Id="rId47" Type="http://schemas.openxmlformats.org/officeDocument/2006/relationships/hyperlink" Target="https://www.legifrance.gouv.fr/affichCodeArticle.do?cidTexte=LEGITEXT000006072665&amp;idArticle=LEGIARTI000006686570&amp;dateTexte=&amp;categorieLien=cid" TargetMode="External"/><Relationship Id="rId89" Type="http://schemas.openxmlformats.org/officeDocument/2006/relationships/hyperlink" Target="https://www.legifrance.gouv.fr/affichTexteArticle.do;jsessionid=5FF1E359A0ED4667EE19EC861F713053.tplgfr38s_3?idArticle=JORFARTI000028772542&amp;cidTexte=JORFTEXT000028772256&amp;dateTexte=29990101&amp;categorieLien=id" TargetMode="External"/><Relationship Id="rId112" Type="http://schemas.openxmlformats.org/officeDocument/2006/relationships/hyperlink" Target="https://www.legifrance.gouv.fr/affichCodeArticle.do?cidTexte=LEGITEXT000006074096&amp;idArticle=LEGIARTI000006825765&amp;dateTexte=&amp;categorieLien=cid" TargetMode="External"/><Relationship Id="rId154" Type="http://schemas.openxmlformats.org/officeDocument/2006/relationships/hyperlink" Target="https://www.legifrance.gouv.fr/affichCodeArticle.do?cidTexte=LEGITEXT000006069565&amp;idArticle=LEGIARTI000006292640&amp;dateTexte=&amp;categorieLien=cid" TargetMode="External"/><Relationship Id="rId361" Type="http://schemas.openxmlformats.org/officeDocument/2006/relationships/hyperlink" Target="https://www.legifrance.gouv.fr/affichCodeArticle.do?cidTexte=LEGITEXT000006074096&amp;idArticle=LEGIARTI000006825803&amp;dateTexte=&amp;categorieLien=cid" TargetMode="External"/><Relationship Id="rId557" Type="http://schemas.openxmlformats.org/officeDocument/2006/relationships/hyperlink" Target="https://www.legifrance.gouv.fr/affichCodeArticle.do?cidTexte=LEGITEXT000006071367&amp;idArticle=LEGIARTI000006581629&amp;dateTexte=&amp;categorieLien=cid" TargetMode="External"/><Relationship Id="rId599" Type="http://schemas.openxmlformats.org/officeDocument/2006/relationships/hyperlink" Target="https://www.legifrance.gouv.fr/affichTexte.do?cidTexte=JORFTEXT000000874247&amp;categorieLien=cid" TargetMode="External"/><Relationship Id="rId196" Type="http://schemas.openxmlformats.org/officeDocument/2006/relationships/hyperlink" Target="https://www.legifrance.gouv.fr/affichTexteArticle.do;jsessionid=5FF1E359A0ED4667EE19EC861F713053.tplgfr38s_3?idArticle=JORFARTI000028774923&amp;cidTexte=JORFTEXT000028772256&amp;dateTexte=29990101&amp;categorieLien=id" TargetMode="External"/><Relationship Id="rId417" Type="http://schemas.openxmlformats.org/officeDocument/2006/relationships/hyperlink" Target="https://www.legifrance.gouv.fr/affichTexteArticle.do?cidTexte=JORFTEXT000028636804&amp;idArticle=JORFARTI000028637019&amp;categorieLien=cid" TargetMode="External"/><Relationship Id="rId459" Type="http://schemas.openxmlformats.org/officeDocument/2006/relationships/hyperlink" Target="https://www.legifrance.gouv.fr/affichCodeArticle.do?cidTexte=LEGITEXT000006069577&amp;idArticle=LEGIARTI000006314157&amp;dateTexte=&amp;categorieLien=cid" TargetMode="External"/><Relationship Id="rId624" Type="http://schemas.openxmlformats.org/officeDocument/2006/relationships/hyperlink" Target="https://www.legifrance.gouv.fr/affichTexteArticle.do;jsessionid=5FF1E359A0ED4667EE19EC861F713053.tplgfr38s_3?idArticle=JORFARTI000028774646&amp;cidTexte=JORFTEXT000028772256&amp;dateTexte=29990101&amp;categorieLien=id" TargetMode="External"/><Relationship Id="rId666" Type="http://schemas.openxmlformats.org/officeDocument/2006/relationships/hyperlink" Target="https://www.legifrance.gouv.fr/affichCodeArticle.do?cidTexte=LEGITEXT000006074075&amp;idArticle=LEGIARTI000006814936&amp;dateTexte=&amp;categorieLien=cid" TargetMode="External"/><Relationship Id="rId16" Type="http://schemas.openxmlformats.org/officeDocument/2006/relationships/hyperlink" Target="https://www.legifrance.gouv.fr/affichTexte.do?cidTexte=JORFTEXT000028772256&amp;categorieLien=cid" TargetMode="External"/><Relationship Id="rId221" Type="http://schemas.openxmlformats.org/officeDocument/2006/relationships/hyperlink" Target="https://www.legifrance.gouv.fr/affichTexteArticle.do?cidTexte=JORFTEXT000000880200&amp;idArticle=LEGIARTI000020441315&amp;dateTexte=&amp;categorieLien=cid" TargetMode="External"/><Relationship Id="rId263" Type="http://schemas.openxmlformats.org/officeDocument/2006/relationships/hyperlink" Target="https://www.legifrance.gouv.fr/affichCodeArticle.do?cidTexte=LEGITEXT000005634379&amp;idArticle=LEGIARTI000006241817&amp;dateTexte=&amp;categorieLien=cid" TargetMode="External"/><Relationship Id="rId319" Type="http://schemas.openxmlformats.org/officeDocument/2006/relationships/hyperlink" Target="https://www.legifrance.gouv.fr/affichCodeArticle.do?cidTexte=LEGITEXT000006074096&amp;idArticle=LEGIARTI000006825773&amp;dateTexte=&amp;categorieLien=cid" TargetMode="External"/><Relationship Id="rId470" Type="http://schemas.openxmlformats.org/officeDocument/2006/relationships/hyperlink" Target="https://www.legifrance.gouv.fr/affichCodeArticle.do?cidTexte=LEGITEXT000006070299&amp;idArticle=LEGIARTI000006361425&amp;dateTexte=&amp;categorieLien=cid" TargetMode="External"/><Relationship Id="rId526" Type="http://schemas.openxmlformats.org/officeDocument/2006/relationships/hyperlink" Target="https://www.legifrance.gouv.fr/affichTexteArticle.do?cidTexte=JORFTEXT000022470434&amp;idArticle=JORFARTI000022470601&amp;categorieLien=cid" TargetMode="External"/><Relationship Id="rId58" Type="http://schemas.openxmlformats.org/officeDocument/2006/relationships/hyperlink" Target="https://www.legifrance.gouv.fr/affichCodeArticle.do?cidTexte=LEGITEXT000006074096&amp;idArticle=LEGIARTI000006825045&amp;dateTexte=&amp;categorieLien=cid" TargetMode="External"/><Relationship Id="rId123" Type="http://schemas.openxmlformats.org/officeDocument/2006/relationships/hyperlink" Target="https://www.legifrance.gouv.fr/affichTexte.do?cidTexte=JORFTEXT000000880200&amp;categorieLien=cid" TargetMode="External"/><Relationship Id="rId330" Type="http://schemas.openxmlformats.org/officeDocument/2006/relationships/hyperlink" Target="https://www.legifrance.gouv.fr/affichCodeArticle.do?cidTexte=LEGITEXT000006070721&amp;idArticle=LEGIARTI000006449080&amp;dateTexte=&amp;categorieLien=cid" TargetMode="External"/><Relationship Id="rId568" Type="http://schemas.openxmlformats.org/officeDocument/2006/relationships/hyperlink" Target="https://www.legifrance.gouv.fr/affichCodeArticle.do?cidTexte=LEGITEXT000006071367&amp;idArticle=LEGIARTI000022524799&amp;dateTexte=&amp;categorieLien=cid" TargetMode="External"/><Relationship Id="rId165" Type="http://schemas.openxmlformats.org/officeDocument/2006/relationships/hyperlink" Target="https://www.legifrance.gouv.fr/affichTexteArticle.do;jsessionid=5FF1E359A0ED4667EE19EC861F713053.tplgfr38s_3?idArticle=JORFARTI000028774821&amp;cidTexte=JORFTEXT000028772256&amp;dateTexte=29990101&amp;categorieLien=id" TargetMode="External"/><Relationship Id="rId372" Type="http://schemas.openxmlformats.org/officeDocument/2006/relationships/hyperlink" Target="https://www.legifrance.gouv.fr/affichCodeArticle.do?cidTexte=LEGITEXT000006074096&amp;idArticle=LEGIARTI000006825803&amp;dateTexte=&amp;categorieLien=cid" TargetMode="External"/><Relationship Id="rId428" Type="http://schemas.openxmlformats.org/officeDocument/2006/relationships/hyperlink" Target="https://www.legifrance.gouv.fr/affichCodeArticle.do?cidTexte=LEGITEXT000006069577&amp;idArticle=LEGIARTI000006314157&amp;dateTexte=&amp;categorieLien=cid" TargetMode="External"/><Relationship Id="rId635" Type="http://schemas.openxmlformats.org/officeDocument/2006/relationships/hyperlink" Target="https://www.legifrance.gouv.fr/affichTexteArticle.do;jsessionid=5FF1E359A0ED4667EE19EC861F713053.tplgfr38s_3?idArticle=JORFARTI000028774678&amp;cidTexte=JORFTEXT000028772256&amp;dateTexte=29990101&amp;categorieLien=id" TargetMode="External"/><Relationship Id="rId677" Type="http://schemas.openxmlformats.org/officeDocument/2006/relationships/hyperlink" Target="https://www.legifrance.gouv.fr/affichTexteArticle.do;jsessionid=5FF1E359A0ED4667EE19EC861F713053.tplgfr38s_3?idArticle=JORFARTI000028774807&amp;cidTexte=JORFTEXT000028772256&amp;dateTexte=29990101&amp;categorieLien=id" TargetMode="External"/><Relationship Id="rId232" Type="http://schemas.openxmlformats.org/officeDocument/2006/relationships/hyperlink" Target="https://www.legifrance.gouv.fr/affichTexteArticle.do?cidTexte=JORFTEXT000000880200&amp;idArticle=LEGIARTI000006471586&amp;dateTexte=&amp;categorieLien=cid" TargetMode="External"/><Relationship Id="rId274" Type="http://schemas.openxmlformats.org/officeDocument/2006/relationships/hyperlink" Target="https://www.legifrance.gouv.fr/affichCodeArticle.do?cidTexte=LEGITEXT000006074096&amp;idArticle=LEGIARTI000006825567&amp;dateTexte=&amp;categorieLien=cid" TargetMode="External"/><Relationship Id="rId481" Type="http://schemas.openxmlformats.org/officeDocument/2006/relationships/hyperlink" Target="https://www.legifrance.gouv.fr/affichTexteArticle.do;jsessionid=5FF1E359A0ED4667EE19EC861F713053.tplgfr38s_3?idArticle=JORFARTI000028774253&amp;cidTexte=JORFTEXT000028772256&amp;dateTexte=29990101&amp;categorieLien=id" TargetMode="External"/><Relationship Id="rId702" Type="http://schemas.openxmlformats.org/officeDocument/2006/relationships/hyperlink" Target="https://www.legifrance.gouv.fr/affichTexteArticle.do;jsessionid=5FF1E359A0ED4667EE19EC861F713053.tplgfr38s_3?idArticle=JORFARTI000028773280&amp;cidTexte=JORFTEXT000028772256&amp;dateTexte=29990101&amp;categorieLien=id" TargetMode="External"/><Relationship Id="rId27" Type="http://schemas.openxmlformats.org/officeDocument/2006/relationships/hyperlink" Target="https://www.legifrance.gouv.fr/affichTexteArticle.do?cidTexte=JORFTEXT000000692718&amp;idArticle=LEGIARTI000006464797&amp;dateTexte=&amp;categorieLien=cid" TargetMode="External"/><Relationship Id="rId69" Type="http://schemas.openxmlformats.org/officeDocument/2006/relationships/hyperlink" Target="https://www.legifrance.gouv.fr/affichTexteArticle.do;jsessionid=5FF1E359A0ED4667EE19EC861F713053.tplgfr38s_3?idArticle=JORFARTI000028772483&amp;cidTexte=JORFTEXT000028772256&amp;dateTexte=29990101&amp;categorieLien=id" TargetMode="External"/><Relationship Id="rId134" Type="http://schemas.openxmlformats.org/officeDocument/2006/relationships/hyperlink" Target="https://www.legifrance.gouv.fr/affichTexte.do?cidTexte=JORFTEXT000000159413&amp;categorieLien=cid" TargetMode="External"/><Relationship Id="rId537" Type="http://schemas.openxmlformats.org/officeDocument/2006/relationships/hyperlink" Target="https://www.legifrance.gouv.fr/affichCodeArticle.do?cidTexte=LEGITEXT000020908868&amp;idArticle=LEGIARTI000020907901&amp;dateTexte=&amp;categorieLien=cid" TargetMode="External"/><Relationship Id="rId579" Type="http://schemas.openxmlformats.org/officeDocument/2006/relationships/hyperlink" Target="https://www.legifrance.gouv.fr/affichCodeArticle.do?cidTexte=LEGITEXT000006074220&amp;idArticle=LEGIARTI000006832961&amp;dateTexte=&amp;categorieLien=cid" TargetMode="External"/><Relationship Id="rId80" Type="http://schemas.openxmlformats.org/officeDocument/2006/relationships/hyperlink" Target="https://www.legifrance.gouv.fr/affichTexteArticle.do;jsessionid=5FF1E359A0ED4667EE19EC861F713053.tplgfr38s_3?idArticle=JORFARTI000028772530&amp;cidTexte=JORFTEXT000028772256&amp;dateTexte=29990101&amp;categorieLien=id" TargetMode="External"/><Relationship Id="rId176" Type="http://schemas.openxmlformats.org/officeDocument/2006/relationships/hyperlink" Target="https://www.legifrance.gouv.fr/affichTexteArticle.do;jsessionid=5FF1E359A0ED4667EE19EC861F713053.tplgfr38s_3?idArticle=JORFARTI000028774850&amp;cidTexte=JORFTEXT000028772256&amp;dateTexte=29990101&amp;categorieLien=id" TargetMode="External"/><Relationship Id="rId341" Type="http://schemas.openxmlformats.org/officeDocument/2006/relationships/hyperlink" Target="https://www.legifrance.gouv.fr/affichTexteArticle.do;jsessionid=5FF1E359A0ED4667EE19EC861F713053.tplgfr38s_3?idArticle=JORFARTI000028773930&amp;cidTexte=JORFTEXT000028772256&amp;dateTexte=29990101&amp;categorieLien=id" TargetMode="External"/><Relationship Id="rId383" Type="http://schemas.openxmlformats.org/officeDocument/2006/relationships/hyperlink" Target="https://www.legifrance.gouv.fr/affichCodeArticle.do?cidTexte=LEGITEXT000006072665&amp;idArticle=LEGIARTI000006686375&amp;dateTexte=&amp;categorieLien=cid" TargetMode="External"/><Relationship Id="rId439" Type="http://schemas.openxmlformats.org/officeDocument/2006/relationships/hyperlink" Target="https://www.legifrance.gouv.fr/affichTexteArticle.do?cidTexte=JORFTEXT000000501099&amp;idArticle=LEGIARTI000006450526&amp;dateTexte=&amp;categorieLien=cid" TargetMode="External"/><Relationship Id="rId590" Type="http://schemas.openxmlformats.org/officeDocument/2006/relationships/hyperlink" Target="https://www.legifrance.gouv.fr/affichCode.do?cidTexte=LEGITEXT000006072050&amp;dateTexte=&amp;categorieLien=cid" TargetMode="External"/><Relationship Id="rId604" Type="http://schemas.openxmlformats.org/officeDocument/2006/relationships/hyperlink" Target="https://www.legifrance.gouv.fr/affichTexteArticle.do;jsessionid=5FF1E359A0ED4667EE19EC861F713053.tplgfr38s_3?idArticle=JORFARTI000028774559&amp;cidTexte=JORFTEXT000028772256&amp;dateTexte=29990101&amp;categorieLien=id" TargetMode="External"/><Relationship Id="rId646" Type="http://schemas.openxmlformats.org/officeDocument/2006/relationships/hyperlink" Target="https://www.legifrance.gouv.fr/affichTexteArticle.do;jsessionid=5FF1E359A0ED4667EE19EC861F713053.tplgfr38s_3?idArticle=JORFARTI000028774740&amp;cidTexte=JORFTEXT000028772256&amp;dateTexte=29990101&amp;categorieLien=id" TargetMode="External"/><Relationship Id="rId201" Type="http://schemas.openxmlformats.org/officeDocument/2006/relationships/hyperlink" Target="https://www.legifrance.gouv.fr/affichTexte.do?cidTexte=JORFTEXT000000874247&amp;categorieLien=cid" TargetMode="External"/><Relationship Id="rId243" Type="http://schemas.openxmlformats.org/officeDocument/2006/relationships/hyperlink" Target="https://www.legifrance.gouv.fr/affichTexteArticle.do;jsessionid=5FF1E359A0ED4667EE19EC861F713053.tplgfr38s_3?idArticle=JORFARTI000028773543&amp;cidTexte=JORFTEXT000028772256&amp;dateTexte=29990101&amp;categorieLien=id" TargetMode="External"/><Relationship Id="rId285" Type="http://schemas.openxmlformats.org/officeDocument/2006/relationships/hyperlink" Target="https://www.legifrance.gouv.fr/affichTexte.do?cidTexte=JORFTEXT000000880200&amp;categorieLien=cid" TargetMode="External"/><Relationship Id="rId450" Type="http://schemas.openxmlformats.org/officeDocument/2006/relationships/hyperlink" Target="https://www.legifrance.gouv.fr/affichCodeArticle.do?cidTexte=LEGITEXT000006072050&amp;idArticle=LEGIARTI000006900877&amp;dateTexte=&amp;categorieLien=cid" TargetMode="External"/><Relationship Id="rId506" Type="http://schemas.openxmlformats.org/officeDocument/2006/relationships/hyperlink" Target="https://www.legifrance.gouv.fr/affichCodeArticle.do?cidTexte=LEGITEXT000006074096&amp;idArticle=LEGIARTI000006824749&amp;dateTexte=&amp;categorieLien=cid" TargetMode="External"/><Relationship Id="rId688" Type="http://schemas.openxmlformats.org/officeDocument/2006/relationships/hyperlink" Target="https://www.legifrance.gouv.fr/affichTexte.do?cidTexte=JORFTEXT000024804731&amp;categorieLien=cid" TargetMode="External"/><Relationship Id="rId38" Type="http://schemas.openxmlformats.org/officeDocument/2006/relationships/hyperlink" Target="https://www.legifrance.gouv.fr/affichTexte.do?cidTexte=JORFTEXT000000217471&amp;categorieLien=cid" TargetMode="External"/><Relationship Id="rId103" Type="http://schemas.openxmlformats.org/officeDocument/2006/relationships/hyperlink" Target="https://www.legifrance.gouv.fr/affichTexteArticle.do?cidTexte=JORFTEXT000000509310&amp;idArticle=LEGIARTI000006475068&amp;dateTexte=&amp;categorieLien=cid" TargetMode="External"/><Relationship Id="rId310" Type="http://schemas.openxmlformats.org/officeDocument/2006/relationships/hyperlink" Target="https://www.legifrance.gouv.fr/affichCodeArticle.do?cidTexte=LEGITEXT000006073189&amp;idArticle=LEGIARTI000006745144&amp;dateTexte=&amp;categorieLien=cid" TargetMode="External"/><Relationship Id="rId492" Type="http://schemas.openxmlformats.org/officeDocument/2006/relationships/hyperlink" Target="https://www.legifrance.gouv.fr/affichCodeArticle.do?cidTexte=LEGITEXT000006069577&amp;idArticle=LEGIARTI000006311450&amp;dateTexte=&amp;categorieLien=cid" TargetMode="External"/><Relationship Id="rId548" Type="http://schemas.openxmlformats.org/officeDocument/2006/relationships/hyperlink" Target="https://www.legifrance.gouv.fr/affichCodeArticle.do?cidTexte=LEGITEXT000006071367&amp;idArticle=LEGIARTI000022524799&amp;dateTexte=&amp;categorieLien=cid" TargetMode="External"/><Relationship Id="rId713" Type="http://schemas.openxmlformats.org/officeDocument/2006/relationships/fontTable" Target="fontTable.xml"/><Relationship Id="rId91" Type="http://schemas.openxmlformats.org/officeDocument/2006/relationships/hyperlink" Target="https://www.legifrance.gouv.fr/affichTexteArticle.do?cidTexte=JORFTEXT000000509310&amp;idArticle=LEGIARTI000006475019&amp;dateTexte=&amp;categorieLien=cid" TargetMode="External"/><Relationship Id="rId145" Type="http://schemas.openxmlformats.org/officeDocument/2006/relationships/hyperlink" Target="https://www.legifrance.gouv.fr/affichTexteArticle.do;jsessionid=5FF1E359A0ED4667EE19EC861F713053.tplgfr38s_3?idArticle=JORFARTI000028773301&amp;cidTexte=JORFTEXT000028772256&amp;dateTexte=29990101&amp;categorieLien=id" TargetMode="External"/><Relationship Id="rId187" Type="http://schemas.openxmlformats.org/officeDocument/2006/relationships/hyperlink" Target="https://www.legifrance.gouv.fr/affichCodeArticle.do?cidTexte=LEGITEXT000006074096&amp;idArticle=LEGIARTI000006825403&amp;dateTexte=&amp;categorieLien=cid" TargetMode="External"/><Relationship Id="rId352" Type="http://schemas.openxmlformats.org/officeDocument/2006/relationships/hyperlink" Target="https://www.legifrance.gouv.fr/affichCodeArticle.do?cidTexte=LEGITEXT000006070721&amp;idArticle=LEGIARTI000006449080&amp;dateTexte=&amp;categorieLien=cid" TargetMode="External"/><Relationship Id="rId394" Type="http://schemas.openxmlformats.org/officeDocument/2006/relationships/hyperlink" Target="https://www.legifrance.gouv.fr/affichTexteArticle.do;jsessionid=5FF1E359A0ED4667EE19EC861F713053.tplgfr38s_3?idArticle=JORFARTI000028774091&amp;cidTexte=JORFTEXT000028772256&amp;dateTexte=29990101&amp;categorieLien=id" TargetMode="External"/><Relationship Id="rId408" Type="http://schemas.openxmlformats.org/officeDocument/2006/relationships/hyperlink" Target="https://www.legifrance.gouv.fr/affichTexteArticle.do;jsessionid=5FF1E359A0ED4667EE19EC861F713053.tplgfr38s_3?idArticle=JORFARTI000028774131&amp;cidTexte=JORFTEXT000028772256&amp;dateTexte=29990101&amp;categorieLien=id" TargetMode="External"/><Relationship Id="rId615" Type="http://schemas.openxmlformats.org/officeDocument/2006/relationships/hyperlink" Target="https://www.legifrance.gouv.fr/affichCodeArticle.do?cidTexte=LEGITEXT000005634379&amp;idArticle=LEGIARTI000006238656&amp;dateTexte=&amp;categorieLien=cid" TargetMode="External"/><Relationship Id="rId212" Type="http://schemas.openxmlformats.org/officeDocument/2006/relationships/hyperlink" Target="https://www.legifrance.gouv.fr/affichTexteArticle.do;jsessionid=5FF1E359A0ED4667EE19EC861F713053.tplgfr38s_3?idArticle=JORFARTI000028772674&amp;cidTexte=JORFTEXT000028772256&amp;dateTexte=29990101&amp;categorieLien=id" TargetMode="External"/><Relationship Id="rId254" Type="http://schemas.openxmlformats.org/officeDocument/2006/relationships/hyperlink" Target="https://www.legifrance.gouv.fr/affichCodeArticle.do?cidTexte=LEGITEXT000006070721&amp;idArticle=LEGIARTI000006437135&amp;dateTexte=&amp;categorieLien=cid" TargetMode="External"/><Relationship Id="rId657" Type="http://schemas.openxmlformats.org/officeDocument/2006/relationships/hyperlink" Target="https://www.legifrance.gouv.fr/affichTexteArticle.do?cidTexte=JORFTEXT000000623191&amp;idArticle=LEGIARTI000006479013&amp;dateTexte=&amp;categorieLien=cid" TargetMode="External"/><Relationship Id="rId699" Type="http://schemas.openxmlformats.org/officeDocument/2006/relationships/hyperlink" Target="https://www.legifrance.gouv.fr/affichCodeArticle.do?cidTexte=LEGITEXT000006069577&amp;idArticle=LEGIARTI000006313311&amp;dateTexte=&amp;categorieLien=cid" TargetMode="External"/><Relationship Id="rId49" Type="http://schemas.openxmlformats.org/officeDocument/2006/relationships/hyperlink" Target="https://www.legifrance.gouv.fr/affichCodeArticle.do?cidTexte=LEGITEXT000006074096&amp;idArticle=LEGIARTI000006825803&amp;dateTexte=&amp;categorieLien=cid" TargetMode="External"/><Relationship Id="rId114" Type="http://schemas.openxmlformats.org/officeDocument/2006/relationships/hyperlink" Target="https://www.legifrance.gouv.fr/affichCodeArticle.do?cidTexte=LEGITEXT000006072665&amp;idArticle=LEGIARTI000006686584&amp;dateTexte=&amp;categorieLien=cid" TargetMode="External"/><Relationship Id="rId296" Type="http://schemas.openxmlformats.org/officeDocument/2006/relationships/hyperlink" Target="https://www.legifrance.gouv.fr/affichTexteArticle.do?cidTexte=JORFTEXT000000880200&amp;idArticle=LEGIARTI000006471846&amp;dateTexte=&amp;categorieLien=cid" TargetMode="External"/><Relationship Id="rId461" Type="http://schemas.openxmlformats.org/officeDocument/2006/relationships/hyperlink" Target="https://www.legifrance.gouv.fr/affichCodeArticle.do?cidTexte=LEGITEXT000006074069&amp;idArticle=LEGIARTI000006797382&amp;dateTexte=&amp;categorieLien=cid" TargetMode="External"/><Relationship Id="rId517" Type="http://schemas.openxmlformats.org/officeDocument/2006/relationships/hyperlink" Target="https://www.legifrance.gouv.fr/affichTexteArticle.do;jsessionid=5FF1E359A0ED4667EE19EC861F713053.tplgfr38s_3?idArticle=JORFARTI000028773014&amp;cidTexte=JORFTEXT000028772256&amp;dateTexte=29990101&amp;categorieLien=id" TargetMode="External"/><Relationship Id="rId559" Type="http://schemas.openxmlformats.org/officeDocument/2006/relationships/hyperlink" Target="https://www.legifrance.gouv.fr/affichTexte.do?cidTexte=JORFTEXT000028772256&amp;categorieLien=cid" TargetMode="External"/><Relationship Id="rId60" Type="http://schemas.openxmlformats.org/officeDocument/2006/relationships/hyperlink" Target="https://www.legifrance.gouv.fr/affichCodeArticle.do?cidTexte=LEGITEXT000006073189&amp;idArticle=LEGIARTI000006745144&amp;dateTexte=&amp;categorieLien=cid" TargetMode="External"/><Relationship Id="rId156" Type="http://schemas.openxmlformats.org/officeDocument/2006/relationships/hyperlink" Target="https://www.legifrance.gouv.fr/affichCodeArticle.do?cidTexte=LEGITEXT000006073189&amp;idArticle=LEGIARTI000006745238&amp;dateTexte=&amp;categorieLien=cid" TargetMode="External"/><Relationship Id="rId198" Type="http://schemas.openxmlformats.org/officeDocument/2006/relationships/hyperlink" Target="https://www.legifrance.gouv.fr/affichTexteArticle.do;jsessionid=5FF1E359A0ED4667EE19EC861F713053.tplgfr38s_3?idArticle=JORFARTI000028774929&amp;cidTexte=JORFTEXT000028772256&amp;dateTexte=29990101&amp;categorieLien=id" TargetMode="External"/><Relationship Id="rId321" Type="http://schemas.openxmlformats.org/officeDocument/2006/relationships/hyperlink" Target="https://www.legifrance.gouv.fr/affichCodeArticle.do?cidTexte=LEGITEXT000006074096&amp;idArticle=LEGIARTI000006824282&amp;dateTexte=&amp;categorieLien=cid" TargetMode="External"/><Relationship Id="rId363" Type="http://schemas.openxmlformats.org/officeDocument/2006/relationships/hyperlink" Target="https://www.legifrance.gouv.fr/affichCodeArticle.do?cidTexte=LEGITEXT000006072665&amp;idArticle=LEGIARTI000006686584&amp;dateTexte=&amp;categorieLien=cid" TargetMode="External"/><Relationship Id="rId419" Type="http://schemas.openxmlformats.org/officeDocument/2006/relationships/hyperlink" Target="https://www.legifrance.gouv.fr/affichTexte.do?cidTexte=JORFTEXT000000886460&amp;categorieLien=cid" TargetMode="External"/><Relationship Id="rId570" Type="http://schemas.openxmlformats.org/officeDocument/2006/relationships/hyperlink" Target="https://www.legifrance.gouv.fr/affichTexte.do?cidTexte=JORFTEXT000028772256&amp;categorieLien=cid" TargetMode="External"/><Relationship Id="rId626" Type="http://schemas.openxmlformats.org/officeDocument/2006/relationships/hyperlink" Target="https://www.legifrance.gouv.fr/affichTexteArticle.do;jsessionid=5FF1E359A0ED4667EE19EC861F713053.tplgfr38s_3?idArticle=JORFARTI000028774655&amp;cidTexte=JORFTEXT000028772256&amp;dateTexte=29990101&amp;categorieLien=id" TargetMode="External"/><Relationship Id="rId223" Type="http://schemas.openxmlformats.org/officeDocument/2006/relationships/hyperlink" Target="https://www.legifrance.gouv.fr/affichCodeArticle.do?cidTexte=LEGITEXT000006072665&amp;idArticle=LEGIARTI000006686559&amp;dateTexte=&amp;categorieLien=cid" TargetMode="External"/><Relationship Id="rId430" Type="http://schemas.openxmlformats.org/officeDocument/2006/relationships/hyperlink" Target="https://www.legifrance.gouv.fr/affichTexteArticle.do;jsessionid=5FF1E359A0ED4667EE19EC861F713053.tplgfr38s_3?idArticle=JORFARTI000028772773&amp;cidTexte=JORFTEXT000028772256&amp;dateTexte=29990101&amp;categorieLien=id" TargetMode="External"/><Relationship Id="rId668" Type="http://schemas.openxmlformats.org/officeDocument/2006/relationships/hyperlink" Target="https://www.legifrance.gouv.fr/affichTexteArticle.do?cidTexte=JORFTEXT000022308227&amp;idArticle=JORFARTI000022308303&amp;categorieLien=cid" TargetMode="External"/><Relationship Id="rId18" Type="http://schemas.openxmlformats.org/officeDocument/2006/relationships/hyperlink" Target="https://www.legifrance.gouv.fr/affichTexteArticle.do?cidTexte=JORFTEXT000000512228&amp;idArticle=LEGIARTI000006902221&amp;dateTexte=&amp;categorieLien=cid" TargetMode="External"/><Relationship Id="rId265" Type="http://schemas.openxmlformats.org/officeDocument/2006/relationships/hyperlink" Target="https://www.legifrance.gouv.fr/affichCodeArticle.do?cidTexte=LEGITEXT000005634379&amp;idArticle=LEGIARTI000006242093&amp;dateTexte=&amp;categorieLien=cid" TargetMode="External"/><Relationship Id="rId472" Type="http://schemas.openxmlformats.org/officeDocument/2006/relationships/hyperlink" Target="https://www.legifrance.gouv.fr/affichTexteArticle.do;jsessionid=5FF1E359A0ED4667EE19EC861F713053.tplgfr38s_3?idArticle=JORFARTI000028774227&amp;cidTexte=JORFTEXT000028772256&amp;dateTexte=29990101&amp;categorieLien=id" TargetMode="External"/><Relationship Id="rId528" Type="http://schemas.openxmlformats.org/officeDocument/2006/relationships/hyperlink" Target="https://www.legifrance.gouv.fr/affichTexteArticle.do;jsessionid=5FF1E359A0ED4667EE19EC861F713053.tplgfr38s_3?idArticle=JORFARTI000028773030&amp;cidTexte=JORFTEXT000028772256&amp;dateTexte=29990101&amp;categorieLien=id" TargetMode="External"/><Relationship Id="rId125" Type="http://schemas.openxmlformats.org/officeDocument/2006/relationships/hyperlink" Target="https://www.legifrance.gouv.fr/affichTexte.do?cidTexte=JORFTEXT000028772256&amp;categorieLien=cid" TargetMode="External"/><Relationship Id="rId167" Type="http://schemas.openxmlformats.org/officeDocument/2006/relationships/hyperlink" Target="https://www.legifrance.gouv.fr/affichCodeArticle.do?cidTexte=LEGITEXT000006074096&amp;idArticle=LEGIARTI000020441526&amp;dateTexte=&amp;categorieLien=cid" TargetMode="External"/><Relationship Id="rId332" Type="http://schemas.openxmlformats.org/officeDocument/2006/relationships/hyperlink" Target="https://www.legifrance.gouv.fr/affichCodeArticle.do?cidTexte=LEGITEXT000006070633&amp;idArticle=LEGIARTI000028528695&amp;dateTexte=&amp;categorieLien=cid" TargetMode="External"/><Relationship Id="rId374" Type="http://schemas.openxmlformats.org/officeDocument/2006/relationships/hyperlink" Target="https://www.legifrance.gouv.fr/affichCodeArticle.do?cidTexte=LEGITEXT000006074096&amp;idArticle=LEGIARTI000006824251&amp;dateTexte=&amp;categorieLien=cid" TargetMode="External"/><Relationship Id="rId581" Type="http://schemas.openxmlformats.org/officeDocument/2006/relationships/hyperlink" Target="https://www.legifrance.gouv.fr/affichCodeArticle.do?cidTexte=LEGITEXT000006074096&amp;idArticle=LEGIARTI000006824685&amp;dateTexte=&amp;categorieLien=cid" TargetMode="External"/><Relationship Id="rId71" Type="http://schemas.openxmlformats.org/officeDocument/2006/relationships/hyperlink" Target="https://www.legifrance.gouv.fr/affichCodeArticle.do?cidTexte=LEGITEXT000006069577&amp;idArticle=LEGIARTI000006304273&amp;dateTexte=&amp;categorieLien=cid" TargetMode="External"/><Relationship Id="rId234" Type="http://schemas.openxmlformats.org/officeDocument/2006/relationships/hyperlink" Target="https://www.legifrance.gouv.fr/affichTexteArticle.do?cidTexte=JORFTEXT000000880200&amp;idArticle=LEGIARTI000006471846&amp;dateTexte=&amp;categorieLien=cid" TargetMode="External"/><Relationship Id="rId637" Type="http://schemas.openxmlformats.org/officeDocument/2006/relationships/hyperlink" Target="https://www.legifrance.gouv.fr/affichCodeArticle.do?cidTexte=LEGITEXT000006071367&amp;idArticle=LEGIARTI000022524799&amp;dateTexte=&amp;categorieLien=cid" TargetMode="External"/><Relationship Id="rId679" Type="http://schemas.openxmlformats.org/officeDocument/2006/relationships/hyperlink" Target="https://www.legifrance.gouv.fr/affichCodeArticle.do?cidTexte=LEGITEXT000006070633&amp;idArticle=LEGIARTI000006389884&amp;dateTexte=&amp;categorieLien=cid" TargetMode="External"/><Relationship Id="rId2" Type="http://schemas.openxmlformats.org/officeDocument/2006/relationships/styles" Target="styles.xml"/><Relationship Id="rId29" Type="http://schemas.openxmlformats.org/officeDocument/2006/relationships/hyperlink" Target="https://www.legifrance.gouv.fr/affichTexte.do?cidTexte=JORFTEXT000000874247&amp;categorieLien=cid" TargetMode="External"/><Relationship Id="rId276" Type="http://schemas.openxmlformats.org/officeDocument/2006/relationships/hyperlink" Target="https://www.legifrance.gouv.fr/affichCodeArticle.do?cidTexte=LEGITEXT000006073189&amp;idArticle=LEGIARTI000006743252&amp;dateTexte=&amp;categorieLien=cid" TargetMode="External"/><Relationship Id="rId441" Type="http://schemas.openxmlformats.org/officeDocument/2006/relationships/hyperlink" Target="https://www.legifrance.gouv.fr/affichTexteArticle.do?cidTexte=JORFTEXT000000428979&amp;idArticle=LEGIARTI000006826562&amp;dateTexte=&amp;categorieLien=cid" TargetMode="External"/><Relationship Id="rId483" Type="http://schemas.openxmlformats.org/officeDocument/2006/relationships/hyperlink" Target="https://www.legifrance.gouv.fr/affichTexteArticle.do;jsessionid=5FF1E359A0ED4667EE19EC861F713053.tplgfr38s_3?idArticle=JORFARTI000028774267&amp;cidTexte=JORFTEXT000028772256&amp;dateTexte=29990101&amp;categorieLien=id" TargetMode="External"/><Relationship Id="rId539" Type="http://schemas.openxmlformats.org/officeDocument/2006/relationships/hyperlink" Target="https://www.legifrance.gouv.fr/affichTexte.do?cidTexte=JORFTEXT000000603905&amp;categorieLien=cid" TargetMode="External"/><Relationship Id="rId690" Type="http://schemas.openxmlformats.org/officeDocument/2006/relationships/hyperlink" Target="https://www.legifrance.gouv.fr/affichTexte.do?cidTexte=JORFTEXT000025105083&amp;categorieLien=cid" TargetMode="External"/><Relationship Id="rId704" Type="http://schemas.openxmlformats.org/officeDocument/2006/relationships/hyperlink" Target="https://www.legifrance.gouv.fr/affichCodeArticle.do?cidTexte=LEGITEXT000005634379&amp;idArticle=LEGIARTI000006241147&amp;dateTexte=&amp;categorieLien=cid" TargetMode="External"/><Relationship Id="rId40" Type="http://schemas.openxmlformats.org/officeDocument/2006/relationships/hyperlink" Target="https://www.legifrance.gouv.fr/affichTexteArticle.do;jsessionid=5FF1E359A0ED4667EE19EC861F713053.tplgfr38s_3?idArticle=JORFARTI000028772355&amp;cidTexte=JORFTEXT000028772256&amp;dateTexte=29990101&amp;categorieLien=id" TargetMode="External"/><Relationship Id="rId136" Type="http://schemas.openxmlformats.org/officeDocument/2006/relationships/hyperlink" Target="https://www.legifrance.gouv.fr/affichCodeArticle.do?cidTexte=LEGITEXT000006072665&amp;idArticle=LEGIARTI000006686551&amp;dateTexte=&amp;categorieLien=cid" TargetMode="External"/><Relationship Id="rId178" Type="http://schemas.openxmlformats.org/officeDocument/2006/relationships/hyperlink" Target="https://www.legifrance.gouv.fr/affichTexteArticle.do;jsessionid=5FF1E359A0ED4667EE19EC861F713053.tplgfr38s_3?idArticle=JORFARTI000028774858&amp;cidTexte=JORFTEXT000028772256&amp;dateTexte=29990101&amp;categorieLien=id" TargetMode="External"/><Relationship Id="rId301" Type="http://schemas.openxmlformats.org/officeDocument/2006/relationships/hyperlink" Target="https://www.legifrance.gouv.fr/affichCodeArticle.do?cidTexte=LEGITEXT000006072665&amp;idArticle=LEGIARTI000006686551&amp;dateTexte=&amp;categorieLien=cid" TargetMode="External"/><Relationship Id="rId343" Type="http://schemas.openxmlformats.org/officeDocument/2006/relationships/hyperlink" Target="https://www.legifrance.gouv.fr/affichCodeArticle.do?cidTexte=LEGITEXT000006072665&amp;idArticle=LEGIARTI000006686832&amp;dateTexte=&amp;categorieLien=cid" TargetMode="External"/><Relationship Id="rId550" Type="http://schemas.openxmlformats.org/officeDocument/2006/relationships/hyperlink" Target="https://www.legifrance.gouv.fr/affichCodeArticle.do?cidTexte=LEGITEXT000006074075&amp;idArticle=LEGIARTI000022474712&amp;dateTexte=&amp;categorieLien=cid" TargetMode="External"/><Relationship Id="rId82" Type="http://schemas.openxmlformats.org/officeDocument/2006/relationships/hyperlink" Target="https://www.legifrance.gouv.fr/affichTexte.do?cidTexte=JORFTEXT000000874247&amp;categorieLien=cid" TargetMode="External"/><Relationship Id="rId203" Type="http://schemas.openxmlformats.org/officeDocument/2006/relationships/hyperlink" Target="https://www.legifrance.gouv.fr/affichCodeArticle.do?cidTexte=LEGITEXT000006074096&amp;idArticle=LEGIARTI000006825403&amp;dateTexte=&amp;categorieLien=cid" TargetMode="External"/><Relationship Id="rId385" Type="http://schemas.openxmlformats.org/officeDocument/2006/relationships/hyperlink" Target="https://www.legifrance.gouv.fr/affichCodeArticle.do?cidTexte=LEGITEXT000006072665&amp;idArticle=LEGIARTI000006686570&amp;dateTexte=&amp;categorieLien=cid" TargetMode="External"/><Relationship Id="rId592" Type="http://schemas.openxmlformats.org/officeDocument/2006/relationships/hyperlink" Target="https://www.legifrance.gouv.fr/affichTexteArticle.do;jsessionid=5FF1E359A0ED4667EE19EC861F713053.tplgfr38s_3?idArticle=JORFARTI000028773194&amp;cidTexte=JORFTEXT000028772256&amp;dateTexte=29990101&amp;categorieLien=id" TargetMode="External"/><Relationship Id="rId606" Type="http://schemas.openxmlformats.org/officeDocument/2006/relationships/hyperlink" Target="https://www.legifrance.gouv.fr/affichCodeArticle.do?cidTexte=LEGITEXT000006074075&amp;idArticle=LEGIARTI000006815142&amp;dateTexte=&amp;categorieLien=cid" TargetMode="External"/><Relationship Id="rId648" Type="http://schemas.openxmlformats.org/officeDocument/2006/relationships/hyperlink" Target="https://www.legifrance.gouv.fr/affichCodeArticle.do?cidTexte=LEGITEXT000006070299&amp;idArticle=LEGIARTI000006361425&amp;dateTexte=&amp;categorieLien=cid" TargetMode="External"/><Relationship Id="rId245" Type="http://schemas.openxmlformats.org/officeDocument/2006/relationships/hyperlink" Target="https://www.legifrance.gouv.fr/affichTexteArticle.do?cidTexte=JORFTEXT000000880200&amp;idArticle=LEGIARTI000006471771&amp;dateTexte=&amp;categorieLien=cid" TargetMode="External"/><Relationship Id="rId287" Type="http://schemas.openxmlformats.org/officeDocument/2006/relationships/hyperlink" Target="https://www.legifrance.gouv.fr/affichTexteArticle.do?cidTexte=JORFTEXT000000880200&amp;idArticle=LEGIARTI000006471586&amp;dateTexte=&amp;categorieLien=cid" TargetMode="External"/><Relationship Id="rId410" Type="http://schemas.openxmlformats.org/officeDocument/2006/relationships/hyperlink" Target="https://www.legifrance.gouv.fr/affichTexteArticle.do;jsessionid=5FF1E359A0ED4667EE19EC861F713053.tplgfr38s_3?idArticle=JORFARTI000028774141&amp;cidTexte=JORFTEXT000028772256&amp;dateTexte=29990101&amp;categorieLien=id" TargetMode="External"/><Relationship Id="rId452" Type="http://schemas.openxmlformats.org/officeDocument/2006/relationships/hyperlink" Target="https://www.legifrance.gouv.fr/affichCodeArticle.do?cidTexte=LEGITEXT000006074096&amp;idArticle=LEGIARTI000006824836&amp;dateTexte=&amp;categorieLien=cid" TargetMode="External"/><Relationship Id="rId494" Type="http://schemas.openxmlformats.org/officeDocument/2006/relationships/hyperlink" Target="https://www.legifrance.gouv.fr/affichTexteArticle.do;jsessionid=5FF1E359A0ED4667EE19EC861F713053.tplgfr38s_3?idArticle=JORFARTI000028774351&amp;cidTexte=JORFTEXT000028772256&amp;dateTexte=29990101&amp;categorieLien=id" TargetMode="External"/><Relationship Id="rId508" Type="http://schemas.openxmlformats.org/officeDocument/2006/relationships/hyperlink" Target="https://www.legifrance.gouv.fr/affichCodeArticle.do?cidTexte=LEGITEXT000006074096&amp;idArticle=LEGIARTI000006824690&amp;dateTexte=&amp;categorieLien=cid" TargetMode="External"/><Relationship Id="rId30" Type="http://schemas.openxmlformats.org/officeDocument/2006/relationships/hyperlink" Target="https://www.legifrance.gouv.fr/affichCodeArticle.do?cidTexte=LEGITEXT000006074075&amp;idArticle=LEGIARTI000006815917&amp;dateTexte=&amp;categorieLien=cid" TargetMode="External"/><Relationship Id="rId105" Type="http://schemas.openxmlformats.org/officeDocument/2006/relationships/hyperlink" Target="https://www.legifrance.gouv.fr/affichTexteArticle.do;jsessionid=5FF1E359A0ED4667EE19EC861F713053.tplgfr38s_3?idArticle=JORFARTI000028772573&amp;cidTexte=JORFTEXT000028772256&amp;dateTexte=29990101&amp;categorieLien=id" TargetMode="External"/><Relationship Id="rId126" Type="http://schemas.openxmlformats.org/officeDocument/2006/relationships/hyperlink" Target="https://www.legifrance.gouv.fr/affichCodeArticle.do?cidTexte=LEGITEXT000006069565&amp;idArticle=LEGIARTI000006292191&amp;dateTexte=&amp;categorieLien=cid" TargetMode="External"/><Relationship Id="rId147" Type="http://schemas.openxmlformats.org/officeDocument/2006/relationships/hyperlink" Target="https://www.legifrance.gouv.fr/affichTexteArticle.do?cidTexte=JORFTEXT000000159413&amp;idArticle=LEGIARTI000006351268&amp;dateTexte=&amp;categorieLien=cid" TargetMode="External"/><Relationship Id="rId168" Type="http://schemas.openxmlformats.org/officeDocument/2006/relationships/hyperlink" Target="https://www.legifrance.gouv.fr/affichCodeArticle.do?cidTexte=LEGITEXT000006074096&amp;idArticle=LEGIARTI000006825867&amp;dateTexte=&amp;categorieLien=cid" TargetMode="External"/><Relationship Id="rId312" Type="http://schemas.openxmlformats.org/officeDocument/2006/relationships/hyperlink" Target="https://www.legifrance.gouv.fr/affichTexteArticle.do;jsessionid=5FF1E359A0ED4667EE19EC861F713053.tplgfr38s_3?idArticle=JORFARTI000028773866&amp;cidTexte=JORFTEXT000028772256&amp;dateTexte=29990101&amp;categorieLien=id" TargetMode="External"/><Relationship Id="rId333" Type="http://schemas.openxmlformats.org/officeDocument/2006/relationships/hyperlink" Target="https://www.legifrance.gouv.fr/affichCodeArticle.do?cidTexte=LEGITEXT000006070633&amp;idArticle=LEGIARTI000006392824&amp;dateTexte=&amp;categorieLien=cid" TargetMode="External"/><Relationship Id="rId354" Type="http://schemas.openxmlformats.org/officeDocument/2006/relationships/hyperlink" Target="https://www.legifrance.gouv.fr/affichCodeArticle.do?cidTexte=LEGITEXT000006074096&amp;idArticle=LEGIARTI000006824284&amp;dateTexte=&amp;categorieLien=cid" TargetMode="External"/><Relationship Id="rId540" Type="http://schemas.openxmlformats.org/officeDocument/2006/relationships/hyperlink" Target="https://www.legifrance.gouv.fr/affichCodeArticle.do?cidTexte=LEGITEXT000006070633&amp;idArticle=LEGIARTI000006392684&amp;dateTexte=&amp;categorieLien=cid" TargetMode="External"/><Relationship Id="rId51" Type="http://schemas.openxmlformats.org/officeDocument/2006/relationships/hyperlink" Target="https://www.legifrance.gouv.fr/affichCodeArticle.do?cidTexte=LEGITEXT000006072665&amp;idArticle=LEGIARTI000006686584&amp;dateTexte=&amp;categorieLien=cid" TargetMode="External"/><Relationship Id="rId72" Type="http://schemas.openxmlformats.org/officeDocument/2006/relationships/hyperlink" Target="https://www.legifrance.gouv.fr/affichTexteArticle.do;jsessionid=5FF1E359A0ED4667EE19EC861F713053.tplgfr38s_3?idArticle=JORFARTI000028772497&amp;cidTexte=JORFTEXT000028772256&amp;dateTexte=29990101&amp;categorieLien=id" TargetMode="External"/><Relationship Id="rId93" Type="http://schemas.openxmlformats.org/officeDocument/2006/relationships/hyperlink" Target="https://www.legifrance.gouv.fr/affichCodeArticle.do?cidTexte=LEGITEXT000006069577&amp;idArticle=LEGIARTI000006314157&amp;dateTexte=&amp;categorieLien=cid" TargetMode="External"/><Relationship Id="rId189" Type="http://schemas.openxmlformats.org/officeDocument/2006/relationships/hyperlink" Target="https://www.legifrance.gouv.fr/affichCodeArticle.do?cidTexte=LEGITEXT000006074096&amp;idArticle=LEGIARTI000006825784&amp;dateTexte=&amp;categorieLien=cid" TargetMode="External"/><Relationship Id="rId375" Type="http://schemas.openxmlformats.org/officeDocument/2006/relationships/hyperlink" Target="https://www.legifrance.gouv.fr/affichCodeArticle.do?cidTexte=LEGITEXT000006074096&amp;idArticle=LEGIARTI000006824284&amp;dateTexte=&amp;categorieLien=cid" TargetMode="External"/><Relationship Id="rId396" Type="http://schemas.openxmlformats.org/officeDocument/2006/relationships/hyperlink" Target="https://www.legifrance.gouv.fr/affichTexteArticle.do;jsessionid=5FF1E359A0ED4667EE19EC861F713053.tplgfr38s_3?idArticle=JORFARTI000028774096&amp;cidTexte=JORFTEXT000028772256&amp;dateTexte=29990101&amp;categorieLien=id" TargetMode="External"/><Relationship Id="rId561" Type="http://schemas.openxmlformats.org/officeDocument/2006/relationships/hyperlink" Target="https://www.legifrance.gouv.fr/affichTexteArticle.do?cidTexte=JORFTEXT000022470434&amp;idArticle=JORFARTI000022470553&amp;categorieLien=cid" TargetMode="External"/><Relationship Id="rId582" Type="http://schemas.openxmlformats.org/officeDocument/2006/relationships/hyperlink" Target="https://www.legifrance.gouv.fr/affichCodeArticle.do?cidTexte=LEGITEXT000006074096&amp;idArticle=LEGIARTI000006824763&amp;dateTexte=&amp;categorieLien=cid" TargetMode="External"/><Relationship Id="rId617" Type="http://schemas.openxmlformats.org/officeDocument/2006/relationships/hyperlink" Target="https://www.legifrance.gouv.fr/affichCodeArticle.do?cidTexte=LEGITEXT000006074096&amp;idArticle=LEGIARTI000006825181&amp;dateTexte=&amp;categorieLien=cid" TargetMode="External"/><Relationship Id="rId638" Type="http://schemas.openxmlformats.org/officeDocument/2006/relationships/hyperlink" Target="https://www.legifrance.gouv.fr/affichCodeArticle.do?cidTexte=LEGITEXT000006070633&amp;idArticle=LEGIARTI000006390357&amp;dateTexte=&amp;categorieLien=cid" TargetMode="External"/><Relationship Id="rId659" Type="http://schemas.openxmlformats.org/officeDocument/2006/relationships/hyperlink" Target="https://www.legifrance.gouv.fr/affichTexte.do?cidTexte=JORFTEXT000000623191&amp;idSectionTA=LEGISCTA000006136775&amp;dateTexte=&amp;categorieLien=cid" TargetMode="External"/><Relationship Id="rId3" Type="http://schemas.openxmlformats.org/officeDocument/2006/relationships/settings" Target="settings.xml"/><Relationship Id="rId214" Type="http://schemas.openxmlformats.org/officeDocument/2006/relationships/hyperlink" Target="https://www.legifrance.gouv.fr/affichTexteArticle.do;jsessionid=5FF1E359A0ED4667EE19EC861F713053.tplgfr38s_3?idArticle=JORFARTI000028772678&amp;cidTexte=JORFTEXT000028772256&amp;dateTexte=29990101&amp;categorieLien=id" TargetMode="External"/><Relationship Id="rId235" Type="http://schemas.openxmlformats.org/officeDocument/2006/relationships/hyperlink" Target="https://www.legifrance.gouv.fr/affichTexteArticle.do?cidTexte=JORFTEXT000000880200&amp;idArticle=LEGIARTI000006471588&amp;dateTexte=&amp;categorieLien=cid" TargetMode="External"/><Relationship Id="rId256" Type="http://schemas.openxmlformats.org/officeDocument/2006/relationships/hyperlink" Target="https://www.legifrance.gouv.fr/affichTexteArticle.do;jsessionid=5FF1E359A0ED4667EE19EC861F713053.tplgfr38s_3?idArticle=JORFARTI000028773648&amp;cidTexte=JORFTEXT000028772256&amp;dateTexte=29990101&amp;categorieLien=id" TargetMode="External"/><Relationship Id="rId277" Type="http://schemas.openxmlformats.org/officeDocument/2006/relationships/hyperlink" Target="https://www.legifrance.gouv.fr/affichCodeArticle.do?cidTexte=LEGITEXT000006073189&amp;idArticle=LEGIARTI000006745144&amp;dateTexte=&amp;categorieLien=cid" TargetMode="External"/><Relationship Id="rId298" Type="http://schemas.openxmlformats.org/officeDocument/2006/relationships/hyperlink" Target="https://www.legifrance.gouv.fr/affichTexte.do?cidTexte=JORFTEXT000000880200&amp;categorieLien=cid" TargetMode="External"/><Relationship Id="rId400" Type="http://schemas.openxmlformats.org/officeDocument/2006/relationships/hyperlink" Target="https://www.legifrance.gouv.fr/affichCodeArticle.do?cidTexte=LEGITEXT000006074096&amp;idArticle=LEGIARTI000006825761&amp;dateTexte=&amp;categorieLien=cid" TargetMode="External"/><Relationship Id="rId421" Type="http://schemas.openxmlformats.org/officeDocument/2006/relationships/hyperlink" Target="https://www.legifrance.gouv.fr/affichTexte.do?cidTexte=JORFTEXT000000886460&amp;categorieLien=cid" TargetMode="External"/><Relationship Id="rId442" Type="http://schemas.openxmlformats.org/officeDocument/2006/relationships/hyperlink" Target="https://www.legifrance.gouv.fr/affichTexteArticle.do?cidTexte=JORFTEXT000025044460&amp;idArticle=JORFARTI000025044785&amp;categorieLien=cid" TargetMode="External"/><Relationship Id="rId463" Type="http://schemas.openxmlformats.org/officeDocument/2006/relationships/hyperlink" Target="https://www.legifrance.gouv.fr/affichCodeArticle.do?cidTexte=LEGITEXT000006069577&amp;idArticle=LEGIARTI000006314157&amp;dateTexte=&amp;categorieLien=cid" TargetMode="External"/><Relationship Id="rId484" Type="http://schemas.openxmlformats.org/officeDocument/2006/relationships/hyperlink" Target="https://www.legifrance.gouv.fr/affichCodeArticle.do?cidTexte=LEGITEXT000006074096&amp;idArticle=LEGIARTI000006825754&amp;dateTexte=&amp;categorieLien=cid" TargetMode="External"/><Relationship Id="rId519" Type="http://schemas.openxmlformats.org/officeDocument/2006/relationships/hyperlink" Target="https://www.legifrance.gouv.fr/affichTexte.do?cidTexte=JORFTEXT000000879802&amp;categorieLien=cid" TargetMode="External"/><Relationship Id="rId670" Type="http://schemas.openxmlformats.org/officeDocument/2006/relationships/hyperlink" Target="https://www.legifrance.gouv.fr/affichCodeArticle.do?cidTexte=LEGITEXT000006074075&amp;idArticle=LEGIARTI000006814367&amp;dateTexte=&amp;categorieLien=cid" TargetMode="External"/><Relationship Id="rId705" Type="http://schemas.openxmlformats.org/officeDocument/2006/relationships/hyperlink" Target="https://www.legifrance.gouv.fr/affichTexteArticle.do;jsessionid=5FF1E359A0ED4667EE19EC861F713053.tplgfr38s_3?idArticle=JORFARTI000028773289&amp;cidTexte=JORFTEXT000028772256&amp;dateTexte=29990101&amp;categorieLien=id" TargetMode="External"/><Relationship Id="rId116" Type="http://schemas.openxmlformats.org/officeDocument/2006/relationships/hyperlink" Target="https://www.legifrance.gouv.fr/affichCodeArticle.do?cidTexte=LEGITEXT000006074096&amp;idArticle=LEGIARTI000006824884&amp;dateTexte=&amp;categorieLien=cid" TargetMode="External"/><Relationship Id="rId137" Type="http://schemas.openxmlformats.org/officeDocument/2006/relationships/hyperlink" Target="https://www.legifrance.gouv.fr/affichCodeArticle.do?cidTexte=LEGITEXT000006072665&amp;idArticle=LEGIARTI000006686564&amp;dateTexte=&amp;categorieLien=cid" TargetMode="External"/><Relationship Id="rId158" Type="http://schemas.openxmlformats.org/officeDocument/2006/relationships/hyperlink" Target="https://www.legifrance.gouv.fr/affichCodeArticle.do?cidTexte=LEGITEXT000006074096&amp;idArticle=LEGIARTI000006825347&amp;dateTexte=&amp;categorieLien=cid" TargetMode="External"/><Relationship Id="rId302" Type="http://schemas.openxmlformats.org/officeDocument/2006/relationships/hyperlink" Target="https://www.legifrance.gouv.fr/affichCodeArticle.do?cidTexte=LEGITEXT000006073189&amp;idArticle=LEGIARTI000006743252&amp;dateTexte=&amp;categorieLien=cid" TargetMode="External"/><Relationship Id="rId323" Type="http://schemas.openxmlformats.org/officeDocument/2006/relationships/hyperlink" Target="https://www.legifrance.gouv.fr/affichCodeArticle.do?cidTexte=LEGITEXT000006074096&amp;idArticle=LEGIARTI000006825771&amp;dateTexte=&amp;categorieLien=cid" TargetMode="External"/><Relationship Id="rId344" Type="http://schemas.openxmlformats.org/officeDocument/2006/relationships/hyperlink" Target="https://www.legifrance.gouv.fr/affichCodeArticle.do?cidTexte=LEGITEXT000006070719&amp;idArticle=LEGIARTI000006417912&amp;dateTexte=&amp;categorieLien=cid" TargetMode="External"/><Relationship Id="rId530" Type="http://schemas.openxmlformats.org/officeDocument/2006/relationships/hyperlink" Target="https://www.legifrance.gouv.fr/affichCodeArticle.do?cidTexte=LEGITEXT000006070299&amp;idArticle=LEGIARTI000006361254&amp;dateTexte=&amp;categorieLien=cid" TargetMode="External"/><Relationship Id="rId691" Type="http://schemas.openxmlformats.org/officeDocument/2006/relationships/hyperlink" Target="https://www.legifrance.gouv.fr/affichTexte.do?cidTexte=JORFTEXT000027727904&amp;categorieLien=cid" TargetMode="External"/><Relationship Id="rId20" Type="http://schemas.openxmlformats.org/officeDocument/2006/relationships/hyperlink" Target="https://www.legifrance.gouv.fr/affichCodeArticle.do?cidTexte=LEGITEXT000006073189&amp;idArticle=LEGIARTI000006745167&amp;dateTexte=&amp;categorieLien=cid" TargetMode="External"/><Relationship Id="rId41" Type="http://schemas.openxmlformats.org/officeDocument/2006/relationships/hyperlink" Target="https://www.legifrance.gouv.fr/affichTexteArticle.do?cidTexte=JORFTEXT000000509310&amp;idArticle=LEGIARTI000006475048&amp;dateTexte=&amp;categorieLien=cid" TargetMode="External"/><Relationship Id="rId62" Type="http://schemas.openxmlformats.org/officeDocument/2006/relationships/hyperlink" Target="https://www.legifrance.gouv.fr/affichTexteArticle.do?cidTexte=JORFTEXT000000874247&amp;idArticle=LEGIARTI000006474648&amp;dateTexte=&amp;categorieLien=cid" TargetMode="External"/><Relationship Id="rId83" Type="http://schemas.openxmlformats.org/officeDocument/2006/relationships/hyperlink" Target="https://www.legifrance.gouv.fr/affichTexteArticle.do?cidTexte=JORFTEXT000000509310&amp;idArticle=LEGIARTI000006475098&amp;dateTexte=&amp;categorieLien=cid" TargetMode="External"/><Relationship Id="rId179" Type="http://schemas.openxmlformats.org/officeDocument/2006/relationships/hyperlink" Target="https://www.legifrance.gouv.fr/affichTexteArticle.do?cidTexte=JORFTEXT000000159413&amp;idArticle=LEGIARTI000006351261&amp;dateTexte=&amp;categorieLien=cid" TargetMode="External"/><Relationship Id="rId365" Type="http://schemas.openxmlformats.org/officeDocument/2006/relationships/hyperlink" Target="https://www.legifrance.gouv.fr/affichCodeArticle.do?cidTexte=LEGITEXT000006074096&amp;idArticle=LEGIARTI000006825803&amp;dateTexte=&amp;categorieLien=cid" TargetMode="External"/><Relationship Id="rId386" Type="http://schemas.openxmlformats.org/officeDocument/2006/relationships/hyperlink" Target="https://www.legifrance.gouv.fr/affichCodeArticle.do?cidTexte=LEGITEXT000006072665&amp;idArticle=LEGIARTI000006686819&amp;dateTexte=&amp;categorieLien=cid" TargetMode="External"/><Relationship Id="rId551" Type="http://schemas.openxmlformats.org/officeDocument/2006/relationships/hyperlink" Target="https://www.legifrance.gouv.fr/affichCodeArticle.do?cidTexte=LEGITEXT000006074075&amp;idArticle=LEGIARTI000006814665&amp;dateTexte=&amp;categorieLien=cid" TargetMode="External"/><Relationship Id="rId572" Type="http://schemas.openxmlformats.org/officeDocument/2006/relationships/hyperlink" Target="https://www.legifrance.gouv.fr/affichTexteArticle.do;jsessionid=5FF1E359A0ED4667EE19EC861F713053.tplgfr38s_3?idArticle=JORFARTI000028774433&amp;cidTexte=JORFTEXT000028772256&amp;dateTexte=29990101&amp;categorieLien=id" TargetMode="External"/><Relationship Id="rId593" Type="http://schemas.openxmlformats.org/officeDocument/2006/relationships/hyperlink" Target="https://www.legifrance.gouv.fr/affichTexteArticle.do;jsessionid=5FF1E359A0ED4667EE19EC861F713053.tplgfr38s_3?idArticle=JORFARTI000028773198&amp;cidTexte=JORFTEXT000028772256&amp;dateTexte=29990101&amp;categorieLien=id" TargetMode="External"/><Relationship Id="rId607" Type="http://schemas.openxmlformats.org/officeDocument/2006/relationships/hyperlink" Target="https://www.legifrance.gouv.fr/affichCodeArticle.do?cidTexte=LEGITEXT000006074075&amp;idArticle=LEGIARTI000006815147&amp;dateTexte=&amp;categorieLien=cid" TargetMode="External"/><Relationship Id="rId628" Type="http://schemas.openxmlformats.org/officeDocument/2006/relationships/hyperlink" Target="https://www.legifrance.gouv.fr/affichCode.do?cidTexte=LEGITEXT000006074075&amp;dateTexte=&amp;categorieLien=cid" TargetMode="External"/><Relationship Id="rId649" Type="http://schemas.openxmlformats.org/officeDocument/2006/relationships/hyperlink" Target="https://www.legifrance.gouv.fr/affichCodeArticle.do?cidTexte=LEGITEXT000006070299&amp;idArticle=LEGIARTI000026957590&amp;dateTexte=&amp;categorieLien=cid" TargetMode="External"/><Relationship Id="rId190" Type="http://schemas.openxmlformats.org/officeDocument/2006/relationships/hyperlink" Target="https://www.legifrance.gouv.fr/affichCode.do?cidTexte=LEGITEXT000006070633&amp;dateTexte=&amp;categorieLien=cid" TargetMode="External"/><Relationship Id="rId204" Type="http://schemas.openxmlformats.org/officeDocument/2006/relationships/hyperlink" Target="https://www.legifrance.gouv.fr/affichTexteArticle.do?cidTexte=JORFTEXT000000159413&amp;idArticle=LEGIARTI000006351268&amp;dateTexte=&amp;categorieLien=cid" TargetMode="External"/><Relationship Id="rId225" Type="http://schemas.openxmlformats.org/officeDocument/2006/relationships/hyperlink" Target="https://www.legifrance.gouv.fr/affichCodeArticle.do?cidTexte=LEGITEXT000006072665&amp;idArticle=LEGIARTI000006686819&amp;dateTexte=&amp;categorieLien=cid" TargetMode="External"/><Relationship Id="rId246" Type="http://schemas.openxmlformats.org/officeDocument/2006/relationships/hyperlink" Target="https://www.legifrance.gouv.fr/affichTexteArticle.do?cidTexte=JORFTEXT000000880200&amp;idArticle=LEGIARTI000006471625&amp;dateTexte=&amp;categorieLien=cid" TargetMode="External"/><Relationship Id="rId267" Type="http://schemas.openxmlformats.org/officeDocument/2006/relationships/hyperlink" Target="https://www.legifrance.gouv.fr/affichCodeArticle.do?cidTexte=LEGITEXT000005634379&amp;idArticle=LEGIARTI000006241664&amp;dateTexte=&amp;categorieLien=cid" TargetMode="External"/><Relationship Id="rId288" Type="http://schemas.openxmlformats.org/officeDocument/2006/relationships/hyperlink" Target="https://www.legifrance.gouv.fr/affichTexteArticle.do?cidTexte=JORFTEXT000000880200&amp;idArticle=LEGIARTI000006471587&amp;dateTexte=&amp;categorieLien=cid" TargetMode="External"/><Relationship Id="rId411" Type="http://schemas.openxmlformats.org/officeDocument/2006/relationships/hyperlink" Target="https://www.legifrance.gouv.fr/affichTexteArticle.do;jsessionid=5FF1E359A0ED4667EE19EC861F713053.tplgfr38s_3?idArticle=JORFARTI000028774147&amp;cidTexte=JORFTEXT000028772256&amp;dateTexte=29990101&amp;categorieLien=id" TargetMode="External"/><Relationship Id="rId432" Type="http://schemas.openxmlformats.org/officeDocument/2006/relationships/hyperlink" Target="https://www.legifrance.gouv.fr/affichTexteArticle.do;jsessionid=5FF1E359A0ED4667EE19EC861F713053.tplgfr38s_3?idArticle=JORFARTI000028772779&amp;cidTexte=JORFTEXT000028772256&amp;dateTexte=29990101&amp;categorieLien=id" TargetMode="External"/><Relationship Id="rId453" Type="http://schemas.openxmlformats.org/officeDocument/2006/relationships/hyperlink" Target="https://www.legifrance.gouv.fr/affichTexteArticle.do;jsessionid=5FF1E359A0ED4667EE19EC861F713053.tplgfr38s_3?idArticle=JORFARTI000028774150&amp;cidTexte=JORFTEXT000028772256&amp;dateTexte=29990101&amp;categorieLien=id" TargetMode="External"/><Relationship Id="rId474" Type="http://schemas.openxmlformats.org/officeDocument/2006/relationships/hyperlink" Target="https://www.legifrance.gouv.fr/affichCodeArticle.do?cidTexte=LEGITEXT000006074096&amp;idArticle=LEGIARTI000006824997&amp;dateTexte=&amp;categorieLien=cid" TargetMode="External"/><Relationship Id="rId509" Type="http://schemas.openxmlformats.org/officeDocument/2006/relationships/hyperlink" Target="https://www.legifrance.gouv.fr/affichTexteArticle.do;jsessionid=5FF1E359A0ED4667EE19EC861F713053.tplgfr38s_3?idArticle=JORFARTI000028772916&amp;cidTexte=JORFTEXT000028772256&amp;dateTexte=29990101&amp;categorieLien=id" TargetMode="External"/><Relationship Id="rId660" Type="http://schemas.openxmlformats.org/officeDocument/2006/relationships/hyperlink" Target="https://www.legifrance.gouv.fr/affichTexteArticle.do;jsessionid=5FF1E359A0ED4667EE19EC861F713053.tplgfr38s_3?idArticle=JORFARTI000028774779&amp;cidTexte=JORFTEXT000028772256&amp;dateTexte=29990101&amp;categorieLien=id" TargetMode="External"/><Relationship Id="rId106" Type="http://schemas.openxmlformats.org/officeDocument/2006/relationships/hyperlink" Target="https://www.legifrance.gouv.fr/affichCodeArticle.do?cidTexte=LEGITEXT000006069577&amp;idArticle=LEGIARTI000020023035&amp;dateTexte=&amp;categorieLien=cid" TargetMode="External"/><Relationship Id="rId127" Type="http://schemas.openxmlformats.org/officeDocument/2006/relationships/hyperlink" Target="https://www.legifrance.gouv.fr/affichTexteArticle.do?cidTexte=JORFTEXT000000855024&amp;idArticle=LEGIARTI000006920541&amp;dateTexte=&amp;categorieLien=cid" TargetMode="External"/><Relationship Id="rId313" Type="http://schemas.openxmlformats.org/officeDocument/2006/relationships/hyperlink" Target="https://www.legifrance.gouv.fr/affichTexteArticle.do;jsessionid=5FF1E359A0ED4667EE19EC861F713053.tplgfr38s_3?idArticle=JORFARTI000028773874&amp;cidTexte=JORFTEXT000028772256&amp;dateTexte=29990101&amp;categorieLien=id" TargetMode="External"/><Relationship Id="rId495" Type="http://schemas.openxmlformats.org/officeDocument/2006/relationships/hyperlink" Target="https://www.legifrance.gouv.fr/affichTexteArticle.do;jsessionid=5FF1E359A0ED4667EE19EC861F713053.tplgfr38s_3?idArticle=JORFARTI000028774358&amp;cidTexte=JORFTEXT000028772256&amp;dateTexte=29990101&amp;categorieLien=id" TargetMode="External"/><Relationship Id="rId681" Type="http://schemas.openxmlformats.org/officeDocument/2006/relationships/hyperlink" Target="https://www.legifrance.gouv.fr/affichTexteArticle.do;jsessionid=5FF1E359A0ED4667EE19EC861F713053.tplgfr38s_3?idArticle=JORFARTI000028773217&amp;cidTexte=JORFTEXT000028772256&amp;dateTexte=29990101&amp;categorieLien=id" TargetMode="External"/><Relationship Id="rId10" Type="http://schemas.openxmlformats.org/officeDocument/2006/relationships/hyperlink" Target="https://www.legifrance.gouv.fr/affichCode.do?cidTexte=LEGITEXT000006074096&amp;dateTexte=&amp;categorieLien=cid" TargetMode="External"/><Relationship Id="rId31" Type="http://schemas.openxmlformats.org/officeDocument/2006/relationships/hyperlink" Target="https://www.legifrance.gouv.fr/affichCodeArticle.do?cidTexte=LEGITEXT000006074075&amp;idArticle=LEGIARTI000006815806&amp;dateTexte=&amp;categorieLien=cid" TargetMode="External"/><Relationship Id="rId52" Type="http://schemas.openxmlformats.org/officeDocument/2006/relationships/hyperlink" Target="https://www.legifrance.gouv.fr/affichCodeArticle.do?cidTexte=LEGITEXT000006074096&amp;idArticle=LEGIARTI000006825803&amp;dateTexte=&amp;categorieLien=cid" TargetMode="External"/><Relationship Id="rId73" Type="http://schemas.openxmlformats.org/officeDocument/2006/relationships/hyperlink" Target="https://www.legifrance.gouv.fr/affichTexteArticle.do;jsessionid=5FF1E359A0ED4667EE19EC861F713053.tplgfr38s_3?idArticle=JORFARTI000028772501&amp;cidTexte=JORFTEXT000028772256&amp;dateTexte=29990101&amp;categorieLien=id" TargetMode="External"/><Relationship Id="rId94" Type="http://schemas.openxmlformats.org/officeDocument/2006/relationships/hyperlink" Target="https://www.legifrance.gouv.fr/affichTexteArticle.do;jsessionid=5FF1E359A0ED4667EE19EC861F713053.tplgfr38s_3?idArticle=JORFARTI000028772551&amp;cidTexte=JORFTEXT000028772256&amp;dateTexte=29990101&amp;categorieLien=id" TargetMode="External"/><Relationship Id="rId148" Type="http://schemas.openxmlformats.org/officeDocument/2006/relationships/hyperlink" Target="https://www.legifrance.gouv.fr/affichCodeArticle.do?cidTexte=LEGITEXT000006070721&amp;idArticle=LEGIARTI000006437076&amp;dateTexte=&amp;categorieLien=cid" TargetMode="External"/><Relationship Id="rId169" Type="http://schemas.openxmlformats.org/officeDocument/2006/relationships/hyperlink" Target="https://www.legifrance.gouv.fr/affichCodeArticle.do?cidTexte=LEGITEXT000006074096&amp;idArticle=LEGIARTI000006825042&amp;dateTexte=&amp;categorieLien=cid" TargetMode="External"/><Relationship Id="rId334" Type="http://schemas.openxmlformats.org/officeDocument/2006/relationships/hyperlink" Target="https://www.legifrance.gouv.fr/affichCodeArticle.do?cidTexte=LEGITEXT000006072665&amp;idArticle=LEGIARTI000006687058&amp;dateTexte=&amp;categorieLien=cid" TargetMode="External"/><Relationship Id="rId355" Type="http://schemas.openxmlformats.org/officeDocument/2006/relationships/hyperlink" Target="https://www.legifrance.gouv.fr/affichCodeArticle.do?cidTexte=LEGITEXT000006074096&amp;idArticle=LEGIARTI000006825803&amp;dateTexte=&amp;categorieLien=cid" TargetMode="External"/><Relationship Id="rId376" Type="http://schemas.openxmlformats.org/officeDocument/2006/relationships/hyperlink" Target="https://www.legifrance.gouv.fr/affichCodeArticle.do?cidTexte=LEGITEXT000006074096&amp;idArticle=LEGIARTI000006825803&amp;dateTexte=&amp;categorieLien=cid" TargetMode="External"/><Relationship Id="rId397" Type="http://schemas.openxmlformats.org/officeDocument/2006/relationships/hyperlink" Target="https://www.legifrance.gouv.fr/affichCodeArticle.do?cidTexte=LEGITEXT000006074096&amp;idArticle=LEGIARTI000006824251&amp;dateTexte=&amp;categorieLien=cid" TargetMode="External"/><Relationship Id="rId520" Type="http://schemas.openxmlformats.org/officeDocument/2006/relationships/hyperlink" Target="https://www.legifrance.gouv.fr/affichTexte.do?cidTexte=JORFTEXT000000509310&amp;categorieLien=cid" TargetMode="External"/><Relationship Id="rId541" Type="http://schemas.openxmlformats.org/officeDocument/2006/relationships/hyperlink" Target="https://www.legifrance.gouv.fr/affichCodeArticle.do?cidTexte=LEGITEXT000006070633&amp;idArticle=LEGIARTI000006392544&amp;dateTexte=&amp;categorieLien=cid" TargetMode="External"/><Relationship Id="rId562" Type="http://schemas.openxmlformats.org/officeDocument/2006/relationships/hyperlink" Target="https://www.legifrance.gouv.fr/affichTexteArticle.do;jsessionid=5FF1E359A0ED4667EE19EC861F713053.tplgfr38s_3?idArticle=JORFARTI000028773154&amp;cidTexte=JORFTEXT000028772256&amp;dateTexte=29990101&amp;categorieLien=id" TargetMode="External"/><Relationship Id="rId583" Type="http://schemas.openxmlformats.org/officeDocument/2006/relationships/hyperlink" Target="https://www.legifrance.gouv.fr/affichCodeArticle.do?cidTexte=LEGITEXT000006074075&amp;idArticle=LEGIARTI000006814763&amp;dateTexte=&amp;categorieLien=cid" TargetMode="External"/><Relationship Id="rId618" Type="http://schemas.openxmlformats.org/officeDocument/2006/relationships/hyperlink" Target="https://www.legifrance.gouv.fr/affichCodeArticle.do?cidTexte=LEGITEXT000006072026&amp;idArticle=LEGIARTI000006652098&amp;dateTexte=&amp;categorieLien=cid" TargetMode="External"/><Relationship Id="rId639" Type="http://schemas.openxmlformats.org/officeDocument/2006/relationships/hyperlink" Target="https://www.legifrance.gouv.fr/affichCodeArticle.do?cidTexte=LEGITEXT000006074075&amp;idArticle=LEGIARTI000022475776&amp;dateTexte=&amp;categorieLien=cid" TargetMode="External"/><Relationship Id="rId4" Type="http://schemas.openxmlformats.org/officeDocument/2006/relationships/webSettings" Target="webSettings.xml"/><Relationship Id="rId180" Type="http://schemas.openxmlformats.org/officeDocument/2006/relationships/hyperlink" Target="https://www.legifrance.gouv.fr/affichCodeArticle.do?cidTexte=LEGITEXT000006074096&amp;idArticle=LEGIARTI000006824681&amp;dateTexte=&amp;categorieLien=cid" TargetMode="External"/><Relationship Id="rId215" Type="http://schemas.openxmlformats.org/officeDocument/2006/relationships/hyperlink" Target="https://www.legifrance.gouv.fr/affichTexteArticle.do;jsessionid=5FF1E359A0ED4667EE19EC861F713053.tplgfr38s_3?idArticle=JORFARTI000028772681&amp;cidTexte=JORFTEXT000028772256&amp;dateTexte=29990101&amp;categorieLien=id" TargetMode="External"/><Relationship Id="rId236" Type="http://schemas.openxmlformats.org/officeDocument/2006/relationships/hyperlink" Target="https://www.legifrance.gouv.fr/affichTexteArticle.do?cidTexte=JORFTEXT000000880200&amp;idArticle=LEGIARTI000006472157&amp;dateTexte=&amp;categorieLien=cid" TargetMode="External"/><Relationship Id="rId257" Type="http://schemas.openxmlformats.org/officeDocument/2006/relationships/hyperlink" Target="https://www.legifrance.gouv.fr/affichCodeArticle.do?cidTexte=LEGITEXT000006074075&amp;idArticle=LEGIARTI000006815558&amp;dateTexte=&amp;categorieLien=cid" TargetMode="External"/><Relationship Id="rId278" Type="http://schemas.openxmlformats.org/officeDocument/2006/relationships/hyperlink" Target="https://www.legifrance.gouv.fr/affichCodeArticle.do?cidTexte=LEGITEXT000006074096&amp;idArticle=LEGIARTI000006825815&amp;dateTexte=&amp;categorieLien=cid" TargetMode="External"/><Relationship Id="rId401" Type="http://schemas.openxmlformats.org/officeDocument/2006/relationships/hyperlink" Target="https://www.legifrance.gouv.fr/affichCodeArticle.do?cidTexte=LEGITEXT000006072665&amp;idArticle=LEGIARTI000006686551&amp;dateTexte=&amp;categorieLien=cid" TargetMode="External"/><Relationship Id="rId422" Type="http://schemas.openxmlformats.org/officeDocument/2006/relationships/hyperlink" Target="https://www.legifrance.gouv.fr/affichCodeArticle.do?cidTexte=LEGITEXT000006069577&amp;idArticle=LEGIARTI000006314157&amp;dateTexte=&amp;categorieLien=cid" TargetMode="External"/><Relationship Id="rId443" Type="http://schemas.openxmlformats.org/officeDocument/2006/relationships/hyperlink" Target="https://www.legifrance.gouv.fr/affichCode.do?cidTexte=LEGITEXT000006074096&amp;dateTexte=&amp;categorieLien=cid" TargetMode="External"/><Relationship Id="rId464" Type="http://schemas.openxmlformats.org/officeDocument/2006/relationships/hyperlink" Target="https://www.legifrance.gouv.fr/affichCodeArticle.do?cidTexte=LEGITEXT000006074069&amp;idArticle=LEGIARTI000006797382&amp;dateTexte=&amp;categorieLien=cid" TargetMode="External"/><Relationship Id="rId650" Type="http://schemas.openxmlformats.org/officeDocument/2006/relationships/hyperlink" Target="https://www.legifrance.gouv.fr/affichCodeArticle.do?cidTexte=LEGITEXT000006074096&amp;idArticle=LEGIARTI000020441522&amp;dateTexte=&amp;categorieLien=cid" TargetMode="External"/><Relationship Id="rId303" Type="http://schemas.openxmlformats.org/officeDocument/2006/relationships/hyperlink" Target="https://www.legifrance.gouv.fr/affichCodeArticle.do?cidTexte=LEGITEXT000006073189&amp;idArticle=LEGIARTI000006745144&amp;dateTexte=&amp;categorieLien=cid" TargetMode="External"/><Relationship Id="rId485" Type="http://schemas.openxmlformats.org/officeDocument/2006/relationships/hyperlink" Target="https://www.legifrance.gouv.fr/affichTexteArticle.do;jsessionid=5FF1E359A0ED4667EE19EC861F713053.tplgfr38s_3?idArticle=JORFARTI000028774290&amp;cidTexte=JORFTEXT000028772256&amp;dateTexte=29990101&amp;categorieLien=id" TargetMode="External"/><Relationship Id="rId692" Type="http://schemas.openxmlformats.org/officeDocument/2006/relationships/hyperlink" Target="https://www.legifrance.gouv.fr/affichTexte.do?cidTexte=JORFTEXT000028025629&amp;categorieLien=cid" TargetMode="External"/><Relationship Id="rId706" Type="http://schemas.openxmlformats.org/officeDocument/2006/relationships/hyperlink" Target="https://www.legifrance.gouv.fr/affichTexteArticle.do;jsessionid=5FF1E359A0ED4667EE19EC861F713053.tplgfr38s_3?idArticle=JORFARTI000028773290&amp;cidTexte=JORFTEXT000028772256&amp;dateTexte=29990101&amp;categorieLien=id" TargetMode="External"/><Relationship Id="rId42" Type="http://schemas.openxmlformats.org/officeDocument/2006/relationships/hyperlink" Target="https://www.legifrance.gouv.fr/affichTexte.do?cidTexte=JORFTEXT000000874247&amp;categorieLien=cid" TargetMode="External"/><Relationship Id="rId84" Type="http://schemas.openxmlformats.org/officeDocument/2006/relationships/hyperlink" Target="https://www.legifrance.gouv.fr/affichCodeArticle.do?cidTexte=LEGITEXT000006074096&amp;idArticle=LEGIARTI000006825868&amp;dateTexte=&amp;categorieLien=cid" TargetMode="External"/><Relationship Id="rId138" Type="http://schemas.openxmlformats.org/officeDocument/2006/relationships/hyperlink" Target="https://www.legifrance.gouv.fr/affichCodeArticle.do?cidTexte=LEGITEXT000006072665&amp;idArticle=LEGIARTI000006686819&amp;dateTexte=&amp;categorieLien=cid" TargetMode="External"/><Relationship Id="rId345" Type="http://schemas.openxmlformats.org/officeDocument/2006/relationships/hyperlink" Target="https://www.legifrance.gouv.fr/affichCodeArticle.do?cidTexte=LEGITEXT000006072665&amp;idArticle=LEGIARTI000006686832&amp;dateTexte=&amp;categorieLien=cid" TargetMode="External"/><Relationship Id="rId387" Type="http://schemas.openxmlformats.org/officeDocument/2006/relationships/hyperlink" Target="https://www.legifrance.gouv.fr/affichCodeArticle.do?cidTexte=LEGITEXT000006072665&amp;idArticle=LEGIARTI000006686739&amp;dateTexte=&amp;categorieLien=cid" TargetMode="External"/><Relationship Id="rId510" Type="http://schemas.openxmlformats.org/officeDocument/2006/relationships/hyperlink" Target="https://www.legifrance.gouv.fr/affichCodeArticle.do?cidTexte=LEGITEXT000006072026&amp;idArticle=LEGIARTI000006652138&amp;dateTexte=&amp;categorieLien=cid" TargetMode="External"/><Relationship Id="rId552" Type="http://schemas.openxmlformats.org/officeDocument/2006/relationships/hyperlink" Target="https://www.legifrance.gouv.fr/affichCodeArticle.do?cidTexte=LEGITEXT000006074075&amp;idArticle=LEGIARTI000006814665&amp;dateTexte=&amp;categorieLien=cid" TargetMode="External"/><Relationship Id="rId594" Type="http://schemas.openxmlformats.org/officeDocument/2006/relationships/hyperlink" Target="https://www.legifrance.gouv.fr/affichCode.do?cidTexte=LEGITEXT000006074075&amp;dateTexte=&amp;categorieLien=cid" TargetMode="External"/><Relationship Id="rId608" Type="http://schemas.openxmlformats.org/officeDocument/2006/relationships/hyperlink" Target="https://www.legifrance.gouv.fr/affichCode.do?cidTexte=LEGITEXT000006074075&amp;dateTexte=&amp;categorieLien=cid" TargetMode="External"/><Relationship Id="rId191" Type="http://schemas.openxmlformats.org/officeDocument/2006/relationships/hyperlink" Target="https://www.legifrance.gouv.fr/affichCodeArticle.do?cidTexte=LEGITEXT000006074096&amp;idArticle=LEGIARTI000006825039&amp;dateTexte=&amp;categorieLien=cid" TargetMode="External"/><Relationship Id="rId205" Type="http://schemas.openxmlformats.org/officeDocument/2006/relationships/hyperlink" Target="https://www.legifrance.gouv.fr/affichTexteArticle.do;jsessionid=5FF1E359A0ED4667EE19EC861F713053.tplgfr38s_3?idArticle=JORFARTI000028773414&amp;cidTexte=JORFTEXT000028772256&amp;dateTexte=29990101&amp;categorieLien=id" TargetMode="External"/><Relationship Id="rId247" Type="http://schemas.openxmlformats.org/officeDocument/2006/relationships/hyperlink" Target="https://www.legifrance.gouv.fr/affichCodeArticle.do?cidTexte=LEGITEXT000006072665&amp;idArticle=LEGIARTI000006686570&amp;dateTexte=&amp;categorieLien=cid" TargetMode="External"/><Relationship Id="rId412" Type="http://schemas.openxmlformats.org/officeDocument/2006/relationships/hyperlink" Target="https://www.legifrance.gouv.fr/affichTexteArticle.do;jsessionid=5FF1E359A0ED4667EE19EC861F713053.tplgfr38s_3?idArticle=JORFARTI000028772726&amp;cidTexte=JORFTEXT000028772256&amp;dateTexte=29990101&amp;categorieLien=id" TargetMode="External"/><Relationship Id="rId107" Type="http://schemas.openxmlformats.org/officeDocument/2006/relationships/hyperlink" Target="https://www.legifrance.gouv.fr/affichTexteArticle.do;jsessionid=5FF1E359A0ED4667EE19EC861F713053.tplgfr38s_3?idArticle=JORFARTI000028772575&amp;cidTexte=JORFTEXT000028772256&amp;dateTexte=29990101&amp;categorieLien=id" TargetMode="External"/><Relationship Id="rId289" Type="http://schemas.openxmlformats.org/officeDocument/2006/relationships/hyperlink" Target="https://www.legifrance.gouv.fr/affichTexteArticle.do?cidTexte=JORFTEXT000000880200&amp;idArticle=LEGIARTI000006471764&amp;dateTexte=&amp;categorieLien=cid" TargetMode="External"/><Relationship Id="rId454" Type="http://schemas.openxmlformats.org/officeDocument/2006/relationships/hyperlink" Target="https://www.legifrance.gouv.fr/affichCodeArticle.do?cidTexte=LEGITEXT000006069577&amp;idArticle=LEGIARTI000006314157&amp;dateTexte=&amp;categorieLien=cid" TargetMode="External"/><Relationship Id="rId496" Type="http://schemas.openxmlformats.org/officeDocument/2006/relationships/hyperlink" Target="https://www.legifrance.gouv.fr/affichTexteArticle.do;jsessionid=5FF1E359A0ED4667EE19EC861F713053.tplgfr38s_3?idArticle=JORFARTI000028774362&amp;cidTexte=JORFTEXT000028772256&amp;dateTexte=29990101&amp;categorieLien=id" TargetMode="External"/><Relationship Id="rId661" Type="http://schemas.openxmlformats.org/officeDocument/2006/relationships/hyperlink" Target="https://www.legifrance.gouv.fr/affichCodeArticle.do?cidTexte=LEGITEXT000006074096&amp;idArticle=LEGIARTI000006824681&amp;dateTexte=&amp;categorieLien=cid" TargetMode="External"/><Relationship Id="rId11" Type="http://schemas.openxmlformats.org/officeDocument/2006/relationships/hyperlink" Target="https://www.legifrance.gouv.fr/affichCodeArticle.do?cidTexte=LEGITEXT000006070721&amp;idArticle=LEGIARTI000006442883&amp;dateTexte=&amp;categorieLien=cid" TargetMode="External"/><Relationship Id="rId53" Type="http://schemas.openxmlformats.org/officeDocument/2006/relationships/hyperlink" Target="https://www.legifrance.gouv.fr/affichCodeArticle.do?cidTexte=LEGITEXT000006074096&amp;idArticle=LEGIARTI000006825154&amp;dateTexte=&amp;categorieLien=cid" TargetMode="External"/><Relationship Id="rId149" Type="http://schemas.openxmlformats.org/officeDocument/2006/relationships/hyperlink" Target="https://www.legifrance.gouv.fr/affichCodeArticle.do?cidTexte=LEGITEXT000006074096&amp;idArticle=LEGIARTI000006825344&amp;dateTexte=&amp;categorieLien=cid" TargetMode="External"/><Relationship Id="rId314" Type="http://schemas.openxmlformats.org/officeDocument/2006/relationships/hyperlink" Target="https://www.legifrance.gouv.fr/affichTexteArticle.do;jsessionid=5FF1E359A0ED4667EE19EC861F713053.tplgfr38s_3?idArticle=JORFARTI000028773880&amp;cidTexte=JORFTEXT000028772256&amp;dateTexte=29990101&amp;categorieLien=id" TargetMode="External"/><Relationship Id="rId356" Type="http://schemas.openxmlformats.org/officeDocument/2006/relationships/hyperlink" Target="https://www.legifrance.gouv.fr/affichCodeArticle.do?cidTexte=LEGITEXT000006072665&amp;idArticle=LEGIARTI000006686584&amp;dateTexte=&amp;categorieLien=cid" TargetMode="External"/><Relationship Id="rId398" Type="http://schemas.openxmlformats.org/officeDocument/2006/relationships/hyperlink" Target="https://www.legifrance.gouv.fr/affichCodeArticle.do?cidTexte=LEGITEXT000006074096&amp;idArticle=LEGIARTI000006824253&amp;dateTexte=&amp;categorieLien=cid" TargetMode="External"/><Relationship Id="rId521" Type="http://schemas.openxmlformats.org/officeDocument/2006/relationships/hyperlink" Target="https://www.legifrance.gouv.fr/affichTexte.do?cidTexte=JORFTEXT000000874247&amp;categorieLien=cid" TargetMode="External"/><Relationship Id="rId563" Type="http://schemas.openxmlformats.org/officeDocument/2006/relationships/hyperlink" Target="https://www.legifrance.gouv.fr/affichTexteArticle.do;jsessionid=5FF1E359A0ED4667EE19EC861F713053.tplgfr38s_3?idArticle=JORFARTI000028773157&amp;cidTexte=JORFTEXT000028772256&amp;dateTexte=29990101&amp;categorieLien=id" TargetMode="External"/><Relationship Id="rId619" Type="http://schemas.openxmlformats.org/officeDocument/2006/relationships/hyperlink" Target="https://www.legifrance.gouv.fr/affichCodeArticle.do?cidTexte=LEGITEXT000006074220&amp;idArticle=LEGIARTI000006834285&amp;dateTexte=&amp;categorieLien=cid" TargetMode="External"/><Relationship Id="rId95" Type="http://schemas.openxmlformats.org/officeDocument/2006/relationships/hyperlink" Target="https://www.legifrance.gouv.fr/affichTexteArticle.do;jsessionid=5FF1E359A0ED4667EE19EC861F713053.tplgfr38s_3?idArticle=JORFARTI000028772554&amp;cidTexte=JORFTEXT000028772256&amp;dateTexte=29990101&amp;categorieLien=id" TargetMode="External"/><Relationship Id="rId160" Type="http://schemas.openxmlformats.org/officeDocument/2006/relationships/hyperlink" Target="https://www.legifrance.gouv.fr/affichTexteArticle.do?cidTexte=JORFTEXT000000509310&amp;idArticle=LEGIARTI000006475187&amp;dateTexte=&amp;categorieLien=cid" TargetMode="External"/><Relationship Id="rId216" Type="http://schemas.openxmlformats.org/officeDocument/2006/relationships/hyperlink" Target="https://www.legifrance.gouv.fr/affichCodeArticle.do?cidTexte=LEGITEXT000006070721&amp;idArticle=LEGIARTI000006432377&amp;dateTexte=&amp;categorieLien=cid" TargetMode="External"/><Relationship Id="rId423" Type="http://schemas.openxmlformats.org/officeDocument/2006/relationships/hyperlink" Target="https://www.legifrance.gouv.fr/affichTexte.do?cidTexte=JORFTEXT000000512228&amp;categorieLien=cid" TargetMode="External"/><Relationship Id="rId258" Type="http://schemas.openxmlformats.org/officeDocument/2006/relationships/hyperlink" Target="https://www.legifrance.gouv.fr/affichTexteArticle.do;jsessionid=5FF1E359A0ED4667EE19EC861F713053.tplgfr38s_3?idArticle=JORFARTI000028773652&amp;cidTexte=JORFTEXT000028772256&amp;dateTexte=29990101&amp;categorieLien=id" TargetMode="External"/><Relationship Id="rId465" Type="http://schemas.openxmlformats.org/officeDocument/2006/relationships/hyperlink" Target="https://www.legifrance.gouv.fr/affichTexte.do?cidTexte=JORFTEXT000028772256&amp;categorieLien=cid" TargetMode="External"/><Relationship Id="rId630" Type="http://schemas.openxmlformats.org/officeDocument/2006/relationships/hyperlink" Target="https://www.legifrance.gouv.fr/affichCode.do?cidTexte=LEGITEXT000006074075&amp;dateTexte=&amp;categorieLien=cid" TargetMode="External"/><Relationship Id="rId672" Type="http://schemas.openxmlformats.org/officeDocument/2006/relationships/hyperlink" Target="https://www.legifrance.gouv.fr/affichCode.do?cidTexte=LEGITEXT000005627819&amp;dateTexte=&amp;categorieLien=cid" TargetMode="External"/><Relationship Id="rId22" Type="http://schemas.openxmlformats.org/officeDocument/2006/relationships/hyperlink" Target="https://www.legifrance.gouv.fr/affichCodeArticle.do?cidTexte=LEGITEXT000006070721&amp;idArticle=LEGIARTI000006442823&amp;dateTexte=&amp;categorieLien=cid" TargetMode="External"/><Relationship Id="rId64" Type="http://schemas.openxmlformats.org/officeDocument/2006/relationships/hyperlink" Target="https://www.legifrance.gouv.fr/affichTexteArticle.do?cidTexte=JORFTEXT000000874247&amp;idArticle=LEGIARTI000006474726&amp;dateTexte=&amp;categorieLien=cid" TargetMode="External"/><Relationship Id="rId118" Type="http://schemas.openxmlformats.org/officeDocument/2006/relationships/hyperlink" Target="https://www.legifrance.gouv.fr/affichCodeArticle.do?cidTexte=LEGITEXT000006074096&amp;idArticle=LEGIARTI000020441522&amp;dateTexte=&amp;categorieLien=cid" TargetMode="External"/><Relationship Id="rId325" Type="http://schemas.openxmlformats.org/officeDocument/2006/relationships/hyperlink" Target="https://www.legifrance.gouv.fr/affichCodeArticle.do?cidTexte=LEGITEXT000006074096&amp;idArticle=LEGIARTI000006824749&amp;dateTexte=&amp;categorieLien=cid" TargetMode="External"/><Relationship Id="rId367" Type="http://schemas.openxmlformats.org/officeDocument/2006/relationships/hyperlink" Target="https://www.legifrance.gouv.fr/affichTexteArticle.do;jsessionid=5FF1E359A0ED4667EE19EC861F713053.tplgfr38s_3?idArticle=JORFARTI000028774014&amp;cidTexte=JORFTEXT000028772256&amp;dateTexte=29990101&amp;categorieLien=id" TargetMode="External"/><Relationship Id="rId532" Type="http://schemas.openxmlformats.org/officeDocument/2006/relationships/hyperlink" Target="https://www.legifrance.gouv.fr/affichCodeArticle.do?cidTexte=LEGITEXT000006074220&amp;idArticle=LEGIARTI000022479470&amp;dateTexte=&amp;categorieLien=cid" TargetMode="External"/><Relationship Id="rId574" Type="http://schemas.openxmlformats.org/officeDocument/2006/relationships/hyperlink" Target="https://www.legifrance.gouv.fr/affichCodeArticle.do?cidTexte=LEGITEXT000006070633&amp;idArticle=LEGIARTI000006392836&amp;dateTexte=&amp;categorieLien=cid" TargetMode="External"/><Relationship Id="rId171" Type="http://schemas.openxmlformats.org/officeDocument/2006/relationships/hyperlink" Target="https://www.legifrance.gouv.fr/affichCodeArticle.do?cidTexte=LEGITEXT000006074096&amp;idArticle=LEGIARTI000020441526&amp;dateTexte=&amp;categorieLien=cid" TargetMode="External"/><Relationship Id="rId227" Type="http://schemas.openxmlformats.org/officeDocument/2006/relationships/hyperlink" Target="https://www.legifrance.gouv.fr/affichCodeArticle.do?cidTexte=LEGITEXT000006072665&amp;idArticle=LEGIARTI000020888362&amp;dateTexte=&amp;categorieLien=cid" TargetMode="External"/><Relationship Id="rId269" Type="http://schemas.openxmlformats.org/officeDocument/2006/relationships/hyperlink" Target="https://www.legifrance.gouv.fr/affichCodeArticle.do?cidTexte=LEGITEXT000006074096&amp;idArticle=LEGIARTI000006825815&amp;dateTexte=&amp;categorieLien=cid" TargetMode="External"/><Relationship Id="rId434" Type="http://schemas.openxmlformats.org/officeDocument/2006/relationships/hyperlink" Target="https://www.legifrance.gouv.fr/affichCodeArticle.do?cidTexte=LEGITEXT000005634379&amp;idArticle=LEGIARTI000006242793&amp;dateTexte=&amp;categorieLien=cid" TargetMode="External"/><Relationship Id="rId476" Type="http://schemas.openxmlformats.org/officeDocument/2006/relationships/hyperlink" Target="https://www.legifrance.gouv.fr/affichTexteArticle.do;jsessionid=5FF1E359A0ED4667EE19EC861F713053.tplgfr38s_3?idArticle=JORFARTI000028774237&amp;cidTexte=JORFTEXT000028772256&amp;dateTexte=29990101&amp;categorieLien=id" TargetMode="External"/><Relationship Id="rId641" Type="http://schemas.openxmlformats.org/officeDocument/2006/relationships/hyperlink" Target="https://www.legifrance.gouv.fr/affichCodeArticle.do?cidTexte=LEGITEXT000006074075&amp;idArticle=LEGIARTI000023370624&amp;dateTexte=&amp;categorieLien=cid" TargetMode="External"/><Relationship Id="rId683" Type="http://schemas.openxmlformats.org/officeDocument/2006/relationships/hyperlink" Target="https://www.legifrance.gouv.fr/affichCodeArticle.do?cidTexte=LEGITEXT000006074220&amp;idArticle=LEGIARTI000006832878&amp;dateTexte=&amp;categorieLien=cid" TargetMode="External"/><Relationship Id="rId33" Type="http://schemas.openxmlformats.org/officeDocument/2006/relationships/hyperlink" Target="https://www.legifrance.gouv.fr/affichCodeArticle.do?cidTexte=LEGITEXT000006074075&amp;idArticle=LEGIARTI000006815925&amp;dateTexte=&amp;categorieLien=cid" TargetMode="External"/><Relationship Id="rId129" Type="http://schemas.openxmlformats.org/officeDocument/2006/relationships/hyperlink" Target="https://www.legifrance.gouv.fr/affichCodeArticle.do?cidTexte=LEGITEXT000006069565&amp;idArticle=LEGIARTI000006292193&amp;dateTexte=&amp;categorieLien=cid" TargetMode="External"/><Relationship Id="rId280" Type="http://schemas.openxmlformats.org/officeDocument/2006/relationships/hyperlink" Target="https://www.legifrance.gouv.fr/affichCodeArticle.do?cidTexte=LEGITEXT000006074075&amp;idArticle=LEGIARTI000006815155&amp;dateTexte=&amp;categorieLien=cid" TargetMode="External"/><Relationship Id="rId336" Type="http://schemas.openxmlformats.org/officeDocument/2006/relationships/hyperlink" Target="https://www.legifrance.gouv.fr/affichCodeArticle.do?cidTexte=LEGITEXT000006070633&amp;idArticle=LEGIARTI000006392824&amp;dateTexte=&amp;categorieLien=cid" TargetMode="External"/><Relationship Id="rId501" Type="http://schemas.openxmlformats.org/officeDocument/2006/relationships/hyperlink" Target="https://www.legifrance.gouv.fr/affichCodeArticle.do?cidTexte=LEGITEXT000006074096&amp;idArticle=LEGIARTI000006825202&amp;dateTexte=&amp;categorieLien=cid" TargetMode="External"/><Relationship Id="rId543" Type="http://schemas.openxmlformats.org/officeDocument/2006/relationships/hyperlink" Target="https://www.legifrance.gouv.fr/affichCodeArticle.do?cidTexte=LEGITEXT000006071367&amp;idArticle=LEGIARTI000022524799&amp;dateTexte=&amp;categorieLien=cid" TargetMode="External"/><Relationship Id="rId75" Type="http://schemas.openxmlformats.org/officeDocument/2006/relationships/hyperlink" Target="https://www.legifrance.gouv.fr/affichTexte.do?cidTexte=JORFTEXT000000874247&amp;categorieLien=cid" TargetMode="External"/><Relationship Id="rId140" Type="http://schemas.openxmlformats.org/officeDocument/2006/relationships/hyperlink" Target="https://www.legifrance.gouv.fr/affichCodeArticle.do?cidTexte=LEGITEXT000006074096&amp;idArticle=LEGIARTI000006825761&amp;dateTexte=&amp;categorieLien=cid" TargetMode="External"/><Relationship Id="rId182" Type="http://schemas.openxmlformats.org/officeDocument/2006/relationships/hyperlink" Target="https://www.legifrance.gouv.fr/affichCodeArticle.do?cidTexte=LEGITEXT000006074069&amp;idArticle=LEGIARTI000020444502&amp;dateTexte=&amp;categorieLien=cid" TargetMode="External"/><Relationship Id="rId378" Type="http://schemas.openxmlformats.org/officeDocument/2006/relationships/hyperlink" Target="https://www.legifrance.gouv.fr/affichCodeArticle.do?cidTexte=LEGITEXT000006072665&amp;idArticle=LEGIARTI000006686584&amp;dateTexte=&amp;categorieLien=cid" TargetMode="External"/><Relationship Id="rId403" Type="http://schemas.openxmlformats.org/officeDocument/2006/relationships/hyperlink" Target="https://www.legifrance.gouv.fr/affichCodeArticle.do?cidTexte=LEGITEXT000006074075&amp;idArticle=LEGIARTI000022475776&amp;dateTexte=&amp;categorieLien=cid" TargetMode="External"/><Relationship Id="rId585" Type="http://schemas.openxmlformats.org/officeDocument/2006/relationships/hyperlink" Target="https://www.legifrance.gouv.fr/affichCode.do?cidTexte=LEGITEXT000006074075&amp;dateTexte=&amp;categorieLien=cid" TargetMode="External"/><Relationship Id="rId6" Type="http://schemas.openxmlformats.org/officeDocument/2006/relationships/hyperlink" Target="https://www.legifrance.gouv.fr/affichTexteArticle.do;jsessionid=5FF1E359A0ED4667EE19EC861F713053.tplgfr38s_3?idArticle=JORFARTI000028772281&amp;cidTexte=JORFTEXT000028772256&amp;dateTexte=29990101&amp;categorieLien=id" TargetMode="External"/><Relationship Id="rId238" Type="http://schemas.openxmlformats.org/officeDocument/2006/relationships/hyperlink" Target="https://www.legifrance.gouv.fr/affichCodeArticle.do?cidTexte=LEGITEXT000006073984&amp;idArticle=LEGIARTI000006791878&amp;dateTexte=&amp;categorieLien=cid" TargetMode="External"/><Relationship Id="rId445" Type="http://schemas.openxmlformats.org/officeDocument/2006/relationships/hyperlink" Target="https://www.legifrance.gouv.fr/affichCodeArticle.do?cidTexte=LEGITEXT000006074096&amp;idArticle=LEGIARTI000006825731&amp;dateTexte=&amp;categorieLien=cid" TargetMode="External"/><Relationship Id="rId487" Type="http://schemas.openxmlformats.org/officeDocument/2006/relationships/hyperlink" Target="https://www.legifrance.gouv.fr/affichTexteArticle.do;jsessionid=5FF1E359A0ED4667EE19EC861F713053.tplgfr38s_3?idArticle=JORFARTI000028774297&amp;cidTexte=JORFTEXT000028772256&amp;dateTexte=29990101&amp;categorieLien=id" TargetMode="External"/><Relationship Id="rId610" Type="http://schemas.openxmlformats.org/officeDocument/2006/relationships/hyperlink" Target="https://www.legifrance.gouv.fr/affichCodeArticle.do?cidTexte=LEGITEXT000006069577&amp;idArticle=LEGIARTI000006306576&amp;dateTexte=&amp;categorieLien=cid" TargetMode="External"/><Relationship Id="rId652" Type="http://schemas.openxmlformats.org/officeDocument/2006/relationships/hyperlink" Target="https://www.legifrance.gouv.fr/affichCodeArticle.do?cidTexte=LEGITEXT000006074075&amp;idArticle=LEGIARTI000006815419&amp;dateTexte=&amp;categorieLien=cid" TargetMode="External"/><Relationship Id="rId694" Type="http://schemas.openxmlformats.org/officeDocument/2006/relationships/hyperlink" Target="https://www.legifrance.gouv.fr/affichTexte.do?cidTexte=JORFTEXT000028025706&amp;categorieLien=cid" TargetMode="External"/><Relationship Id="rId708" Type="http://schemas.openxmlformats.org/officeDocument/2006/relationships/hyperlink" Target="https://www.legifrance.gouv.fr/affichTexteArticle.do;jsessionid=5FF1E359A0ED4667EE19EC861F713053.tplgfr38s_3?idArticle=JORFARTI000028773292&amp;cidTexte=JORFTEXT000028772256&amp;dateTexte=29990101&amp;categorieLien=id" TargetMode="External"/><Relationship Id="rId291" Type="http://schemas.openxmlformats.org/officeDocument/2006/relationships/hyperlink" Target="https://www.legifrance.gouv.fr/affichTexteArticle.do?cidTexte=JORFTEXT000000880200&amp;idArticle=LEGIARTI000006471846&amp;dateTexte=&amp;categorieLien=cid" TargetMode="External"/><Relationship Id="rId305" Type="http://schemas.openxmlformats.org/officeDocument/2006/relationships/hyperlink" Target="https://www.legifrance.gouv.fr/affichCodeArticle.do?cidTexte=LEGITEXT000006073189&amp;idArticle=LEGIARTI000006745144&amp;dateTexte=&amp;categorieLien=cid" TargetMode="External"/><Relationship Id="rId347" Type="http://schemas.openxmlformats.org/officeDocument/2006/relationships/hyperlink" Target="https://www.legifrance.gouv.fr/affichTexteArticle.do;jsessionid=5FF1E359A0ED4667EE19EC861F713053.tplgfr38s_3?idArticle=JORFARTI000028773953&amp;cidTexte=JORFTEXT000028772256&amp;dateTexte=29990101&amp;categorieLien=id" TargetMode="External"/><Relationship Id="rId512" Type="http://schemas.openxmlformats.org/officeDocument/2006/relationships/hyperlink" Target="https://www.legifrance.gouv.fr/affichCodeArticle.do?cidTexte=LEGITEXT000006074096&amp;idArticle=LEGIARTI000006824896&amp;dateTexte=&amp;categorieLien=cid" TargetMode="External"/><Relationship Id="rId44" Type="http://schemas.openxmlformats.org/officeDocument/2006/relationships/hyperlink" Target="https://www.legifrance.gouv.fr/affichTexteArticle.do;jsessionid=5FF1E359A0ED4667EE19EC861F713053.tplgfr38s_3?idArticle=JORFARTI000028772365&amp;cidTexte=JORFTEXT000028772256&amp;dateTexte=29990101&amp;categorieLien=id" TargetMode="External"/><Relationship Id="rId86" Type="http://schemas.openxmlformats.org/officeDocument/2006/relationships/hyperlink" Target="https://www.legifrance.gouv.fr/affichTexteArticle.do?cidTexte=JORFTEXT000000509310&amp;idArticle=LEGIARTI000006475068&amp;dateTexte=&amp;categorieLien=cid" TargetMode="External"/><Relationship Id="rId151" Type="http://schemas.openxmlformats.org/officeDocument/2006/relationships/hyperlink" Target="https://www.legifrance.gouv.fr/affichCodeArticle.do?cidTexte=LEGITEXT000006069565&amp;idArticle=LEGIARTI000006292572&amp;dateTexte=&amp;categorieLien=cid" TargetMode="External"/><Relationship Id="rId389" Type="http://schemas.openxmlformats.org/officeDocument/2006/relationships/hyperlink" Target="https://www.legifrance.gouv.fr/affichTexteArticle.do;jsessionid=5FF1E359A0ED4667EE19EC861F713053.tplgfr38s_3?idArticle=JORFARTI000028774042&amp;cidTexte=JORFTEXT000028772256&amp;dateTexte=29990101&amp;categorieLien=id" TargetMode="External"/><Relationship Id="rId554" Type="http://schemas.openxmlformats.org/officeDocument/2006/relationships/hyperlink" Target="https://www.legifrance.gouv.fr/affichCodeArticle.do?cidTexte=LEGITEXT000006074075&amp;idArticle=LEGIARTI000006814665&amp;dateTexte=&amp;categorieLien=cid" TargetMode="External"/><Relationship Id="rId596" Type="http://schemas.openxmlformats.org/officeDocument/2006/relationships/hyperlink" Target="https://www.legifrance.gouv.fr/affichCodeArticle.do?cidTexte=LEGITEXT000006071367&amp;idArticle=LEGIARTI000006582014&amp;dateTexte=&amp;categorieLien=cid" TargetMode="External"/><Relationship Id="rId193" Type="http://schemas.openxmlformats.org/officeDocument/2006/relationships/hyperlink" Target="https://www.legifrance.gouv.fr/affichCodeArticle.do?cidTexte=LEGITEXT000006074096&amp;idArticle=LEGIARTI000006824988&amp;dateTexte=&amp;categorieLien=cid" TargetMode="External"/><Relationship Id="rId207" Type="http://schemas.openxmlformats.org/officeDocument/2006/relationships/hyperlink" Target="https://www.legifrance.gouv.fr/affichTexteArticle.do;jsessionid=5FF1E359A0ED4667EE19EC861F713053.tplgfr38s_3?idArticle=JORFARTI000028773420&amp;cidTexte=JORFTEXT000028772256&amp;dateTexte=29990101&amp;categorieLien=id" TargetMode="External"/><Relationship Id="rId249" Type="http://schemas.openxmlformats.org/officeDocument/2006/relationships/hyperlink" Target="https://www.legifrance.gouv.fr/affichTexte.do?cidTexte=JORFTEXT000000880200&amp;categorieLien=cid" TargetMode="External"/><Relationship Id="rId414" Type="http://schemas.openxmlformats.org/officeDocument/2006/relationships/hyperlink" Target="https://www.legifrance.gouv.fr/affichTexte.do?cidTexte=JORFTEXT000028772256&amp;categorieLien=cid" TargetMode="External"/><Relationship Id="rId456" Type="http://schemas.openxmlformats.org/officeDocument/2006/relationships/hyperlink" Target="https://www.legifrance.gouv.fr/affichCodeArticle.do?cidTexte=LEGITEXT000006074069&amp;idArticle=LEGIARTI000006797382&amp;dateTexte=&amp;categorieLien=cid" TargetMode="External"/><Relationship Id="rId498" Type="http://schemas.openxmlformats.org/officeDocument/2006/relationships/hyperlink" Target="https://www.legifrance.gouv.fr/affichTexteArticle.do;jsessionid=5FF1E359A0ED4667EE19EC861F713053.tplgfr38s_3?idArticle=JORFARTI000028774386&amp;cidTexte=JORFTEXT000028772256&amp;dateTexte=29990101&amp;categorieLien=id" TargetMode="External"/><Relationship Id="rId621" Type="http://schemas.openxmlformats.org/officeDocument/2006/relationships/hyperlink" Target="https://www.legifrance.gouv.fr/affichTexteArticle.do;jsessionid=5FF1E359A0ED4667EE19EC861F713053.tplgfr38s_3?idArticle=JORFARTI000028774638&amp;cidTexte=JORFTEXT000028772256&amp;dateTexte=29990101&amp;categorieLien=id" TargetMode="External"/><Relationship Id="rId663" Type="http://schemas.openxmlformats.org/officeDocument/2006/relationships/hyperlink" Target="https://www.legifrance.gouv.fr/affichTexteArticle.do;jsessionid=5FF1E359A0ED4667EE19EC861F713053.tplgfr38s_3?idArticle=JORFARTI000028774785&amp;cidTexte=JORFTEXT000028772256&amp;dateTexte=29990101&amp;categorieLien=id" TargetMode="External"/><Relationship Id="rId13" Type="http://schemas.openxmlformats.org/officeDocument/2006/relationships/hyperlink" Target="https://www.legifrance.gouv.fr/affichCodeArticle.do?cidTexte=LEGITEXT000006074096&amp;idArticle=LEGIARTI000006824336&amp;dateTexte=&amp;categorieLien=cid" TargetMode="External"/><Relationship Id="rId109" Type="http://schemas.openxmlformats.org/officeDocument/2006/relationships/hyperlink" Target="https://www.legifrance.gouv.fr/affichCodeArticle.do?cidTexte=LEGITEXT000006074096&amp;idArticle=LEGIARTI000020441526&amp;dateTexte=&amp;categorieLien=cid" TargetMode="External"/><Relationship Id="rId260" Type="http://schemas.openxmlformats.org/officeDocument/2006/relationships/hyperlink" Target="https://www.legifrance.gouv.fr/affichTexteArticle.do;jsessionid=5FF1E359A0ED4667EE19EC861F713053.tplgfr38s_3?idArticle=JORFARTI000028773663&amp;cidTexte=JORFTEXT000028772256&amp;dateTexte=29990101&amp;categorieLien=id" TargetMode="External"/><Relationship Id="rId316" Type="http://schemas.openxmlformats.org/officeDocument/2006/relationships/hyperlink" Target="https://www.legifrance.gouv.fr/affichCodeArticle.do?cidTexte=LEGITEXT000006074096&amp;idArticle=LEGIARTI000006824282&amp;dateTexte=&amp;categorieLien=cid" TargetMode="External"/><Relationship Id="rId523" Type="http://schemas.openxmlformats.org/officeDocument/2006/relationships/hyperlink" Target="https://www.legifrance.gouv.fr/affichTexte.do?cidTexte=JORFTEXT000000583573&amp;categorieLien=cid" TargetMode="External"/><Relationship Id="rId55" Type="http://schemas.openxmlformats.org/officeDocument/2006/relationships/hyperlink" Target="https://www.legifrance.gouv.fr/affichTexteArticle.do;jsessionid=5FF1E359A0ED4667EE19EC861F713053.tplgfr38s_3?idArticle=JORFARTI000028772403&amp;cidTexte=JORFTEXT000028772256&amp;dateTexte=29990101&amp;categorieLien=id" TargetMode="External"/><Relationship Id="rId97" Type="http://schemas.openxmlformats.org/officeDocument/2006/relationships/hyperlink" Target="https://www.legifrance.gouv.fr/affichTexteArticle.do;jsessionid=5FF1E359A0ED4667EE19EC861F713053.tplgfr38s_3?idArticle=JORFARTI000028772558&amp;cidTexte=JORFTEXT000028772256&amp;dateTexte=29990101&amp;categorieLien=id" TargetMode="External"/><Relationship Id="rId120" Type="http://schemas.openxmlformats.org/officeDocument/2006/relationships/hyperlink" Target="https://www.legifrance.gouv.fr/affichCodeArticle.do?cidTexte=LEGITEXT000006074096&amp;idArticle=LEGIARTI000006824836&amp;dateTexte=&amp;categorieLien=cid" TargetMode="External"/><Relationship Id="rId358" Type="http://schemas.openxmlformats.org/officeDocument/2006/relationships/hyperlink" Target="https://www.legifrance.gouv.fr/affichCodeArticle.do?cidTexte=LEGITEXT000006074096&amp;idArticle=LEGIARTI000006825761&amp;dateTexte=&amp;categorieLien=cid" TargetMode="External"/><Relationship Id="rId565" Type="http://schemas.openxmlformats.org/officeDocument/2006/relationships/hyperlink" Target="https://www.legifrance.gouv.fr/affichTexteArticle.do;jsessionid=5FF1E359A0ED4667EE19EC861F713053.tplgfr38s_3?idArticle=JORFARTI000028774393&amp;cidTexte=JORFTEXT000028772256&amp;dateTexte=29990101&amp;categorieLien=id" TargetMode="External"/><Relationship Id="rId162" Type="http://schemas.openxmlformats.org/officeDocument/2006/relationships/hyperlink" Target="https://www.legifrance.gouv.fr/affichCodeArticle.do?cidTexte=LEGITEXT000006070719&amp;idArticle=LEGIARTI000006417944&amp;dateTexte=&amp;categorieLien=cid" TargetMode="External"/><Relationship Id="rId218" Type="http://schemas.openxmlformats.org/officeDocument/2006/relationships/hyperlink" Target="https://www.legifrance.gouv.fr/affichTexte.do?cidTexte=JORFTEXT000028772256&amp;categorieLien=cid" TargetMode="External"/><Relationship Id="rId425" Type="http://schemas.openxmlformats.org/officeDocument/2006/relationships/hyperlink" Target="https://www.legifrance.gouv.fr/affichTexteArticle.do?cidTexte=JORFTEXT000000206894&amp;idArticle=LEGIARTI000006657923&amp;dateTexte=&amp;categorieLien=cid" TargetMode="External"/><Relationship Id="rId467" Type="http://schemas.openxmlformats.org/officeDocument/2006/relationships/hyperlink" Target="https://www.legifrance.gouv.fr/affichCodeArticle.do?cidTexte=LEGITEXT000006074069&amp;idArticle=LEGIARTI000006797382&amp;dateTexte=&amp;categorieLien=cid" TargetMode="External"/><Relationship Id="rId632" Type="http://schemas.openxmlformats.org/officeDocument/2006/relationships/hyperlink" Target="https://www.legifrance.gouv.fr/affichTexteArticle.do;jsessionid=5FF1E359A0ED4667EE19EC861F713053.tplgfr38s_3?idArticle=JORFARTI000028774674&amp;cidTexte=JORFTEXT000028772256&amp;dateTexte=29990101&amp;categorieLien=id" TargetMode="External"/><Relationship Id="rId271" Type="http://schemas.openxmlformats.org/officeDocument/2006/relationships/hyperlink" Target="https://www.legifrance.gouv.fr/affichCodeArticle.do?cidTexte=LEGITEXT000006074075&amp;idArticle=LEGIARTI000024544360&amp;dateTexte=&amp;categorieLien=cid" TargetMode="External"/><Relationship Id="rId674" Type="http://schemas.openxmlformats.org/officeDocument/2006/relationships/hyperlink" Target="https://www.legifrance.gouv.fr/affichCode.do?cidTexte=LEGITEXT000005627819&amp;dateTexte=&amp;categorieLien=cid" TargetMode="External"/><Relationship Id="rId24" Type="http://schemas.openxmlformats.org/officeDocument/2006/relationships/hyperlink" Target="https://www.legifrance.gouv.fr/affichCodeArticle.do?cidTexte=LEGITEXT000006073984&amp;idArticle=LEGIARTI000006791878&amp;dateTexte=&amp;categorieLien=cid" TargetMode="External"/><Relationship Id="rId66" Type="http://schemas.openxmlformats.org/officeDocument/2006/relationships/hyperlink" Target="https://www.legifrance.gouv.fr/affichCodeArticle.do?cidTexte=LEGITEXT000006073189&amp;idArticle=LEGIARTI000006745167&amp;dateTexte=&amp;categorieLien=cid" TargetMode="External"/><Relationship Id="rId131" Type="http://schemas.openxmlformats.org/officeDocument/2006/relationships/hyperlink" Target="https://www.legifrance.gouv.fr/affichCodeArticle.do?cidTexte=LEGITEXT000006072050&amp;idArticle=LEGIARTI000006901595&amp;dateTexte=&amp;categorieLien=cid" TargetMode="External"/><Relationship Id="rId327" Type="http://schemas.openxmlformats.org/officeDocument/2006/relationships/hyperlink" Target="https://www.legifrance.gouv.fr/affichCodeArticle.do?cidTexte=LEGITEXT000006072665&amp;idArticle=LEGIARTI000006686551&amp;dateTexte=&amp;categorieLien=cid" TargetMode="External"/><Relationship Id="rId369" Type="http://schemas.openxmlformats.org/officeDocument/2006/relationships/hyperlink" Target="https://www.legifrance.gouv.fr/affichCodeArticle.do?cidTexte=LEGITEXT000006072665&amp;idArticle=LEGIARTI000006686584&amp;dateTexte=&amp;categorieLien=cid" TargetMode="External"/><Relationship Id="rId534" Type="http://schemas.openxmlformats.org/officeDocument/2006/relationships/hyperlink" Target="https://www.legifrance.gouv.fr/affichCodeArticle.do?cidTexte=LEGITEXT000005634379&amp;idArticle=LEGIARTI000006241126&amp;dateTexte=&amp;categorieLien=cid" TargetMode="External"/><Relationship Id="rId576" Type="http://schemas.openxmlformats.org/officeDocument/2006/relationships/hyperlink" Target="https://www.legifrance.gouv.fr/affichCodeArticle.do?cidTexte=LEGITEXT000006070633&amp;idArticle=LEGIARTI000006389804&amp;dateTexte=&amp;categorieLien=cid" TargetMode="External"/><Relationship Id="rId173" Type="http://schemas.openxmlformats.org/officeDocument/2006/relationships/hyperlink" Target="https://www.legifrance.gouv.fr/affichCodeArticle.do?cidTexte=LEGITEXT000006070719&amp;idArticle=LEGIARTI000006417946&amp;dateTexte=&amp;categorieLien=cid" TargetMode="External"/><Relationship Id="rId229" Type="http://schemas.openxmlformats.org/officeDocument/2006/relationships/hyperlink" Target="https://www.legifrance.gouv.fr/affichTexteArticle.do;jsessionid=5FF1E359A0ED4667EE19EC861F713053.tplgfr38s_3?idArticle=JORFARTI000028773457&amp;cidTexte=JORFTEXT000028772256&amp;dateTexte=29990101&amp;categorieLien=id" TargetMode="External"/><Relationship Id="rId380" Type="http://schemas.openxmlformats.org/officeDocument/2006/relationships/hyperlink" Target="https://www.legifrance.gouv.fr/affichCodeArticle.do?cidTexte=LEGITEXT000006072665&amp;idArticle=LEGIARTI000006686605&amp;dateTexte=&amp;categorieLien=cid" TargetMode="External"/><Relationship Id="rId436" Type="http://schemas.openxmlformats.org/officeDocument/2006/relationships/hyperlink" Target="https://www.legifrance.gouv.fr/affichCodeArticle.do?cidTexte=LEGITEXT000006070719&amp;idArticle=LEGIARTI000006417944&amp;dateTexte=&amp;categorieLien=cid" TargetMode="External"/><Relationship Id="rId601" Type="http://schemas.openxmlformats.org/officeDocument/2006/relationships/hyperlink" Target="https://www.legifrance.gouv.fr/affichTexteArticle.do;jsessionid=5FF1E359A0ED4667EE19EC861F713053.tplgfr38s_3?idArticle=JORFARTI000028774524&amp;cidTexte=JORFTEXT000028772256&amp;dateTexte=29990101&amp;categorieLien=id" TargetMode="External"/><Relationship Id="rId643" Type="http://schemas.openxmlformats.org/officeDocument/2006/relationships/hyperlink" Target="https://www.legifrance.gouv.fr/affichCodeArticle.do?cidTexte=LEGITEXT000006074075&amp;idArticle=LEGIARTI000006814478&amp;dateTexte=&amp;categorieLien=cid" TargetMode="External"/><Relationship Id="rId240" Type="http://schemas.openxmlformats.org/officeDocument/2006/relationships/hyperlink" Target="https://www.legifrance.gouv.fr/affichCodeArticle.do?cidTexte=LEGITEXT000006074075&amp;idArticle=LEGIARTI000006815057&amp;dateTexte=&amp;categorieLien=cid" TargetMode="External"/><Relationship Id="rId478" Type="http://schemas.openxmlformats.org/officeDocument/2006/relationships/hyperlink" Target="https://www.legifrance.gouv.fr/affichCodeArticle.do?cidTexte=LEGITEXT000006069577&amp;idArticle=LEGIARTI000006310095&amp;dateTexte=&amp;categorieLien=cid" TargetMode="External"/><Relationship Id="rId685" Type="http://schemas.openxmlformats.org/officeDocument/2006/relationships/hyperlink" Target="https://www.legifrance.gouv.fr/affichTexteArticle.do;jsessionid=5FF1E359A0ED4667EE19EC861F713053.tplgfr38s_3?idArticle=JORFARTI000028773243&amp;cidTexte=JORFTEXT000028772256&amp;dateTexte=29990101&amp;categorieLien=id" TargetMode="External"/><Relationship Id="rId35" Type="http://schemas.openxmlformats.org/officeDocument/2006/relationships/hyperlink" Target="https://www.legifrance.gouv.fr/affichCodeArticle.do?cidTexte=LEGITEXT000006074075&amp;idArticle=LEGIARTI000006815934&amp;dateTexte=&amp;categorieLien=cid" TargetMode="External"/><Relationship Id="rId77" Type="http://schemas.openxmlformats.org/officeDocument/2006/relationships/hyperlink" Target="https://www.legifrance.gouv.fr/affichCodeArticle.do?cidTexte=LEGITEXT000006074096&amp;idArticle=LEGIARTI000006825981&amp;dateTexte=&amp;categorieLien=cid" TargetMode="External"/><Relationship Id="rId100" Type="http://schemas.openxmlformats.org/officeDocument/2006/relationships/hyperlink" Target="https://www.legifrance.gouv.fr/affichTexteArticle.do?cidTexte=JORFTEXT000000159413&amp;idArticle=LEGIARTI000006351264&amp;dateTexte=&amp;categorieLien=cid" TargetMode="External"/><Relationship Id="rId282" Type="http://schemas.openxmlformats.org/officeDocument/2006/relationships/hyperlink" Target="https://www.legifrance.gouv.fr/affichTexteArticle.do;jsessionid=5FF1E359A0ED4667EE19EC861F713053.tplgfr38s_3?idArticle=JORFARTI000028773743&amp;cidTexte=JORFTEXT000028772256&amp;dateTexte=29990101&amp;categorieLien=id" TargetMode="External"/><Relationship Id="rId338" Type="http://schemas.openxmlformats.org/officeDocument/2006/relationships/hyperlink" Target="https://www.legifrance.gouv.fr/affichTexteArticle.do?cidTexte=JORFTEXT000028772256&amp;idArticle=JORFARTI000028773880&amp;categorieLien=cid" TargetMode="External"/><Relationship Id="rId503" Type="http://schemas.openxmlformats.org/officeDocument/2006/relationships/hyperlink" Target="https://www.legifrance.gouv.fr/affichCodeArticle.do?cidTexte=LEGITEXT000006070633&amp;idArticle=LEGIARTI000023241655&amp;dateTexte=&amp;categorieLien=cid" TargetMode="External"/><Relationship Id="rId545" Type="http://schemas.openxmlformats.org/officeDocument/2006/relationships/hyperlink" Target="https://www.legifrance.gouv.fr/affichCode.do?cidTexte=LEGITEXT000006070633&amp;dateTexte=&amp;categorieLien=cid" TargetMode="External"/><Relationship Id="rId587" Type="http://schemas.openxmlformats.org/officeDocument/2006/relationships/hyperlink" Target="https://www.legifrance.gouv.fr/affichTexteArticle.do;jsessionid=5FF1E359A0ED4667EE19EC861F713053.tplgfr38s_3?idArticle=JORFARTI000028773164&amp;cidTexte=JORFTEXT000028772256&amp;dateTexte=29990101&amp;categorieLien=id" TargetMode="External"/><Relationship Id="rId710" Type="http://schemas.openxmlformats.org/officeDocument/2006/relationships/hyperlink" Target="https://www.legifrance.gouv.fr/telecharger_rtf.do?idTexte=JORFTEXT000028772256&amp;dateTexte=29990101" TargetMode="External"/><Relationship Id="rId8" Type="http://schemas.openxmlformats.org/officeDocument/2006/relationships/hyperlink" Target="https://www.legifrance.gouv.fr/affichCodeArticle.do?cidTexte=LEGITEXT000006070719&amp;idArticle=LEGIARTI000006417828&amp;dateTexte=&amp;categorieLien=cid" TargetMode="External"/><Relationship Id="rId142" Type="http://schemas.openxmlformats.org/officeDocument/2006/relationships/hyperlink" Target="https://www.legifrance.gouv.fr/affichCodeArticle.do?cidTexte=LEGITEXT000006074096&amp;idArticle=LEGIARTI000006824660&amp;dateTexte=&amp;categorieLien=cid" TargetMode="External"/><Relationship Id="rId184" Type="http://schemas.openxmlformats.org/officeDocument/2006/relationships/hyperlink" Target="https://www.legifrance.gouv.fr/affichCodeArticle.do?cidTexte=LEGITEXT000006074096&amp;idArticle=LEGIARTI000006825039&amp;dateTexte=&amp;categorieLien=cid" TargetMode="External"/><Relationship Id="rId391" Type="http://schemas.openxmlformats.org/officeDocument/2006/relationships/hyperlink" Target="https://www.legifrance.gouv.fr/affichTexte.do?cidTexte=JORFTEXT000000874247&amp;categorieLien=cid" TargetMode="External"/><Relationship Id="rId405" Type="http://schemas.openxmlformats.org/officeDocument/2006/relationships/hyperlink" Target="https://www.legifrance.gouv.fr/affichTexte.do?cidTexte=JORFTEXT000000874247&amp;categorieLien=cid" TargetMode="External"/><Relationship Id="rId447" Type="http://schemas.openxmlformats.org/officeDocument/2006/relationships/hyperlink" Target="https://www.legifrance.gouv.fr/affichCodeArticle.do?cidTexte=LEGITEXT000006074096&amp;idArticle=LEGIARTI000006825554&amp;dateTexte=&amp;categorieLien=cid" TargetMode="External"/><Relationship Id="rId612" Type="http://schemas.openxmlformats.org/officeDocument/2006/relationships/hyperlink" Target="https://www.legifrance.gouv.fr/affichTexteArticle.do;jsessionid=5FF1E359A0ED4667EE19EC861F713053.tplgfr38s_3?idArticle=JORFARTI000028774579&amp;cidTexte=JORFTEXT000028772256&amp;dateTexte=29990101&amp;categorieLien=id" TargetMode="External"/><Relationship Id="rId251" Type="http://schemas.openxmlformats.org/officeDocument/2006/relationships/hyperlink" Target="https://www.legifrance.gouv.fr/affichTexteArticle.do;jsessionid=5FF1E359A0ED4667EE19EC861F713053.tplgfr38s_3?idArticle=JORFARTI000028773591&amp;cidTexte=JORFTEXT000028772256&amp;dateTexte=29990101&amp;categorieLien=id" TargetMode="External"/><Relationship Id="rId489" Type="http://schemas.openxmlformats.org/officeDocument/2006/relationships/hyperlink" Target="https://www.legifrance.gouv.fr/affichTexte.do?cidTexte=JORFTEXT000000874247&amp;categorieLien=cid" TargetMode="External"/><Relationship Id="rId654" Type="http://schemas.openxmlformats.org/officeDocument/2006/relationships/hyperlink" Target="https://www.legifrance.gouv.fr/affichTexteArticle.do;jsessionid=5FF1E359A0ED4667EE19EC861F713053.tplgfr38s_3?idArticle=JORFARTI000028774760&amp;cidTexte=JORFTEXT000028772256&amp;dateTexte=29990101&amp;categorieLien=id" TargetMode="External"/><Relationship Id="rId696" Type="http://schemas.openxmlformats.org/officeDocument/2006/relationships/hyperlink" Target="https://www.legifrance.gouv.fr/affichTexte.do?cidTexte=JORFTEXT000028346999&amp;categorieLien=cid" TargetMode="External"/><Relationship Id="rId46" Type="http://schemas.openxmlformats.org/officeDocument/2006/relationships/hyperlink" Target="https://www.legifrance.gouv.fr/affichTexteArticle.do?cidTexte=JORFTEXT000000172847&amp;idArticle=LEGIARTI000006491385&amp;dateTexte=&amp;categorieLien=cid" TargetMode="External"/><Relationship Id="rId293" Type="http://schemas.openxmlformats.org/officeDocument/2006/relationships/hyperlink" Target="https://www.legifrance.gouv.fr/affichTexteArticle.do?cidTexte=JORFTEXT000000880200&amp;idArticle=LEGIARTI000006471846&amp;dateTexte=&amp;categorieLien=cid" TargetMode="External"/><Relationship Id="rId307" Type="http://schemas.openxmlformats.org/officeDocument/2006/relationships/hyperlink" Target="https://www.legifrance.gouv.fr/affichTexte.do?cidTexte=JORFTEXT000028772256&amp;categorieLien=cid" TargetMode="External"/><Relationship Id="rId349" Type="http://schemas.openxmlformats.org/officeDocument/2006/relationships/hyperlink" Target="https://www.legifrance.gouv.fr/affichCodeArticle.do?cidTexte=LEGITEXT000006070721&amp;idArticle=LEGIARTI000006449080&amp;dateTexte=&amp;categorieLien=cid" TargetMode="External"/><Relationship Id="rId514" Type="http://schemas.openxmlformats.org/officeDocument/2006/relationships/hyperlink" Target="https://www.legifrance.gouv.fr/affichCodeArticle.do?cidTexte=LEGITEXT000006074096&amp;idArticle=LEGIARTI000006824913&amp;dateTexte=&amp;categorieLien=cid" TargetMode="External"/><Relationship Id="rId556" Type="http://schemas.openxmlformats.org/officeDocument/2006/relationships/hyperlink" Target="https://www.legifrance.gouv.fr/affichCodeArticle.do?cidTexte=LEGITEXT000006071367&amp;idArticle=LEGIARTI000022524837&amp;dateTexte=&amp;categorieLien=cid" TargetMode="External"/><Relationship Id="rId88" Type="http://schemas.openxmlformats.org/officeDocument/2006/relationships/hyperlink" Target="https://www.legifrance.gouv.fr/affichTexteArticle.do;jsessionid=5FF1E359A0ED4667EE19EC861F713053.tplgfr38s_3?idArticle=JORFARTI000028772539&amp;cidTexte=JORFTEXT000028772256&amp;dateTexte=29990101&amp;categorieLien=id" TargetMode="External"/><Relationship Id="rId111" Type="http://schemas.openxmlformats.org/officeDocument/2006/relationships/hyperlink" Target="https://www.legifrance.gouv.fr/affichCodeArticle.do?cidTexte=LEGITEXT000006074096&amp;idArticle=LEGIARTI000006825761&amp;dateTexte=&amp;categorieLien=cid" TargetMode="External"/><Relationship Id="rId153" Type="http://schemas.openxmlformats.org/officeDocument/2006/relationships/hyperlink" Target="https://www.legifrance.gouv.fr/affichCodeArticle.do?cidTexte=LEGITEXT000006069565&amp;idArticle=LEGIARTI000006292572&amp;dateTexte=&amp;categorieLien=cid" TargetMode="External"/><Relationship Id="rId195" Type="http://schemas.openxmlformats.org/officeDocument/2006/relationships/hyperlink" Target="https://www.legifrance.gouv.fr/affichTexteArticle.do;jsessionid=5FF1E359A0ED4667EE19EC861F713053.tplgfr38s_3?idArticle=JORFARTI000028774909&amp;cidTexte=JORFTEXT000028772256&amp;dateTexte=29990101&amp;categorieLien=id" TargetMode="External"/><Relationship Id="rId209" Type="http://schemas.openxmlformats.org/officeDocument/2006/relationships/hyperlink" Target="https://www.legifrance.gouv.fr/affichTexteArticle.do;jsessionid=5FF1E359A0ED4667EE19EC861F713053.tplgfr38s_3?idArticle=JORFARTI000028773426&amp;cidTexte=JORFTEXT000028772256&amp;dateTexte=29990101&amp;categorieLien=id" TargetMode="External"/><Relationship Id="rId360" Type="http://schemas.openxmlformats.org/officeDocument/2006/relationships/hyperlink" Target="https://www.legifrance.gouv.fr/affichCodeArticle.do?cidTexte=LEGITEXT000006074096&amp;idArticle=LEGIARTI000006824284&amp;dateTexte=&amp;categorieLien=cid" TargetMode="External"/><Relationship Id="rId416" Type="http://schemas.openxmlformats.org/officeDocument/2006/relationships/hyperlink" Target="https://www.legifrance.gouv.fr/affichTexteArticle.do?cidTexte=JORFTEXT000000159413&amp;idArticle=LEGIARTI000006351268&amp;dateTexte=&amp;categorieLien=cid" TargetMode="External"/><Relationship Id="rId598" Type="http://schemas.openxmlformats.org/officeDocument/2006/relationships/hyperlink" Target="https://www.legifrance.gouv.fr/affichTexteArticle.do?cidTexte=JORFTEXT000000509310&amp;idArticle=LEGIARTI000006475140&amp;dateTexte=&amp;categorieLien=cid" TargetMode="External"/><Relationship Id="rId220" Type="http://schemas.openxmlformats.org/officeDocument/2006/relationships/hyperlink" Target="https://www.legifrance.gouv.fr/affichTexteArticle.do?cidTexte=JORFTEXT000000880200&amp;idArticle=LEGIARTI000006471584&amp;dateTexte=&amp;categorieLien=cid" TargetMode="External"/><Relationship Id="rId458" Type="http://schemas.openxmlformats.org/officeDocument/2006/relationships/hyperlink" Target="https://www.legifrance.gouv.fr/affichCodeArticle.do?cidTexte=LEGITEXT000006069577&amp;idArticle=LEGIARTI000006314157&amp;dateTexte=&amp;categorieLien=cid" TargetMode="External"/><Relationship Id="rId623" Type="http://schemas.openxmlformats.org/officeDocument/2006/relationships/hyperlink" Target="https://www.legifrance.gouv.fr/affichCodeArticle.do?cidTexte=LEGITEXT000006074096&amp;idArticle=LEGIARTI000006824781&amp;dateTexte=&amp;categorieLien=cid" TargetMode="External"/><Relationship Id="rId665" Type="http://schemas.openxmlformats.org/officeDocument/2006/relationships/hyperlink" Target="https://www.legifrance.gouv.fr/affichTexte.do?cidTexte=JORFTEXT000022308227&amp;categorieLien=cid" TargetMode="External"/><Relationship Id="rId15" Type="http://schemas.openxmlformats.org/officeDocument/2006/relationships/hyperlink" Target="https://www.legifrance.gouv.fr/affichCodeArticle.do?cidTexte=LEGITEXT000006072665&amp;idArticle=LEGIARTI000006686769&amp;dateTexte=&amp;categorieLien=cid" TargetMode="External"/><Relationship Id="rId57" Type="http://schemas.openxmlformats.org/officeDocument/2006/relationships/hyperlink" Target="https://www.legifrance.gouv.fr/affichCodeArticle.do?cidTexte=LEGITEXT000006073189&amp;idArticle=LEGIARTI000006741765&amp;dateTexte=&amp;categorieLien=cid" TargetMode="External"/><Relationship Id="rId262" Type="http://schemas.openxmlformats.org/officeDocument/2006/relationships/hyperlink" Target="https://www.legifrance.gouv.fr/affichCodeArticle.do?cidTexte=LEGITEXT000005634379&amp;idArticle=LEGIARTI000006229272&amp;dateTexte=&amp;categorieLien=cid" TargetMode="External"/><Relationship Id="rId318" Type="http://schemas.openxmlformats.org/officeDocument/2006/relationships/hyperlink" Target="https://www.legifrance.gouv.fr/affichCodeArticle.do?cidTexte=LEGITEXT000006074096&amp;idArticle=LEGIARTI000006825771&amp;dateTexte=&amp;categorieLien=cid" TargetMode="External"/><Relationship Id="rId525" Type="http://schemas.openxmlformats.org/officeDocument/2006/relationships/hyperlink" Target="https://www.legifrance.gouv.fr/affichTexteArticle.do;jsessionid=5FF1E359A0ED4667EE19EC861F713053.tplgfr38s_3?idArticle=JORFARTI000028773024&amp;cidTexte=JORFTEXT000028772256&amp;dateTexte=29990101&amp;categorieLien=id" TargetMode="External"/><Relationship Id="rId567" Type="http://schemas.openxmlformats.org/officeDocument/2006/relationships/hyperlink" Target="https://www.legifrance.gouv.fr/affichTexteArticle.do;jsessionid=5FF1E359A0ED4667EE19EC861F713053.tplgfr38s_3?idArticle=JORFARTI000028774407&amp;cidTexte=JORFTEXT000028772256&amp;dateTexte=29990101&amp;categorieLien=id" TargetMode="External"/><Relationship Id="rId99" Type="http://schemas.openxmlformats.org/officeDocument/2006/relationships/hyperlink" Target="https://www.legifrance.gouv.fr/affichCodeArticle.do?cidTexte=LEGITEXT000006072665&amp;idArticle=LEGIARTI000006686371&amp;dateTexte=&amp;categorieLien=cid" TargetMode="External"/><Relationship Id="rId122" Type="http://schemas.openxmlformats.org/officeDocument/2006/relationships/hyperlink" Target="https://www.legifrance.gouv.fr/affichTexteArticle.do;jsessionid=5FF1E359A0ED4667EE19EC861F713053.tplgfr38s_3?idArticle=JORFARTI000028772598&amp;cidTexte=JORFTEXT000028772256&amp;dateTexte=29990101&amp;categorieLien=id" TargetMode="External"/><Relationship Id="rId164" Type="http://schemas.openxmlformats.org/officeDocument/2006/relationships/hyperlink" Target="https://www.legifrance.gouv.fr/affichTexteArticle.do;jsessionid=5FF1E359A0ED4667EE19EC861F713053.tplgfr38s_3?idArticle=JORFARTI000028773389&amp;cidTexte=JORFTEXT000028772256&amp;dateTexte=29990101&amp;categorieLien=id" TargetMode="External"/><Relationship Id="rId371" Type="http://schemas.openxmlformats.org/officeDocument/2006/relationships/hyperlink" Target="https://www.legifrance.gouv.fr/affichCodeArticle.do?cidTexte=LEGITEXT000006074096&amp;idArticle=LEGIARTI000006824282&amp;dateTexte=&amp;categorieLien=cid" TargetMode="External"/><Relationship Id="rId427" Type="http://schemas.openxmlformats.org/officeDocument/2006/relationships/hyperlink" Target="https://www.legifrance.gouv.fr/affichTexte.do?cidTexte=JORFTEXT000028772256&amp;categorieLien=cid" TargetMode="External"/><Relationship Id="rId469" Type="http://schemas.openxmlformats.org/officeDocument/2006/relationships/hyperlink" Target="https://www.legifrance.gouv.fr/affichCodeArticle.do?cidTexte=LEGITEXT000006070721&amp;idArticle=LEGIARTI000006441481&amp;dateTexte=&amp;categorieLien=cid" TargetMode="External"/><Relationship Id="rId634" Type="http://schemas.openxmlformats.org/officeDocument/2006/relationships/hyperlink" Target="https://www.legifrance.gouv.fr/affichTexte.do?cidTexte=JORFTEXT000028772256&amp;categorieLien=cid" TargetMode="External"/><Relationship Id="rId676" Type="http://schemas.openxmlformats.org/officeDocument/2006/relationships/hyperlink" Target="https://www.legifrance.gouv.fr/affichTexte.do?cidTexte=JORFTEXT000000512228&amp;categorieLien=cid" TargetMode="External"/><Relationship Id="rId26" Type="http://schemas.openxmlformats.org/officeDocument/2006/relationships/hyperlink" Target="https://www.legifrance.gouv.fr/affichCodeArticle.do?cidTexte=LEGITEXT000006073189&amp;idArticle=LEGIARTI000006745167&amp;dateTexte=&amp;categorieLien=cid" TargetMode="External"/><Relationship Id="rId231" Type="http://schemas.openxmlformats.org/officeDocument/2006/relationships/hyperlink" Target="https://www.legifrance.gouv.fr/affichTexteArticle.do?cidTexte=JORFTEXT000000880200&amp;idArticle=LEGIARTI000020441538&amp;dateTexte=&amp;categorieLien=cid" TargetMode="External"/><Relationship Id="rId273" Type="http://schemas.openxmlformats.org/officeDocument/2006/relationships/hyperlink" Target="https://www.legifrance.gouv.fr/affichCodeArticle.do?cidTexte=LEGITEXT000006074096&amp;idArticle=LEGIARTI000006825181&amp;dateTexte=&amp;categorieLien=cid" TargetMode="External"/><Relationship Id="rId329" Type="http://schemas.openxmlformats.org/officeDocument/2006/relationships/hyperlink" Target="https://www.legifrance.gouv.fr/affichCodeArticle.do?cidTexte=LEGITEXT000006070633&amp;idArticle=LEGIARTI000006389979&amp;dateTexte=&amp;categorieLien=cid" TargetMode="External"/><Relationship Id="rId480" Type="http://schemas.openxmlformats.org/officeDocument/2006/relationships/hyperlink" Target="https://www.legifrance.gouv.fr/affichTexteArticle.do;jsessionid=5FF1E359A0ED4667EE19EC861F713053.tplgfr38s_3?idArticle=JORFARTI000028774245&amp;cidTexte=JORFTEXT000028772256&amp;dateTexte=29990101&amp;categorieLien=id" TargetMode="External"/><Relationship Id="rId536" Type="http://schemas.openxmlformats.org/officeDocument/2006/relationships/hyperlink" Target="https://www.legifrance.gouv.fr/affichCodeArticle.do?cidTexte=LEGITEXT000005634379&amp;idArticle=LEGIARTI000006241126&amp;dateTexte=&amp;categorieLien=cid" TargetMode="External"/><Relationship Id="rId701" Type="http://schemas.openxmlformats.org/officeDocument/2006/relationships/hyperlink" Target="https://www.legifrance.gouv.fr/affichCode.do?cidTexte=LEGITEXT000006074224&amp;dateTexte=&amp;categorieLien=cid" TargetMode="External"/><Relationship Id="rId68" Type="http://schemas.openxmlformats.org/officeDocument/2006/relationships/hyperlink" Target="https://www.legifrance.gouv.fr/affichTexteArticle.do;jsessionid=5FF1E359A0ED4667EE19EC861F713053.tplgfr38s_3?idArticle=JORFARTI000028772482&amp;cidTexte=JORFTEXT000028772256&amp;dateTexte=29990101&amp;categorieLien=id" TargetMode="External"/><Relationship Id="rId133" Type="http://schemas.openxmlformats.org/officeDocument/2006/relationships/hyperlink" Target="https://www.legifrance.gouv.fr/affichCodeArticle.do?cidTexte=LEGITEXT000006069565&amp;idArticle=LEGIARTI000006292696&amp;dateTexte=&amp;categorieLien=cid" TargetMode="External"/><Relationship Id="rId175" Type="http://schemas.openxmlformats.org/officeDocument/2006/relationships/hyperlink" Target="https://www.legifrance.gouv.fr/affichTexteArticle.do;jsessionid=5FF1E359A0ED4667EE19EC861F713053.tplgfr38s_3?idArticle=JORFARTI000028774847&amp;cidTexte=JORFTEXT000028772256&amp;dateTexte=29990101&amp;categorieLien=id" TargetMode="External"/><Relationship Id="rId340" Type="http://schemas.openxmlformats.org/officeDocument/2006/relationships/hyperlink" Target="https://www.legifrance.gouv.fr/affichTexte.do?cidTexte=JORFTEXT000000880200&amp;categorieLien=cid" TargetMode="External"/><Relationship Id="rId578" Type="http://schemas.openxmlformats.org/officeDocument/2006/relationships/hyperlink" Target="https://www.legifrance.gouv.fr/affichCodeArticle.do?cidTexte=LEGITEXT000006074096&amp;idArticle=LEGIARTI000022476436&amp;dateTexte=&amp;categorieLien=cid" TargetMode="External"/><Relationship Id="rId200" Type="http://schemas.openxmlformats.org/officeDocument/2006/relationships/hyperlink" Target="https://www.legifrance.gouv.fr/affichTexteArticle.do?cidTexte=JORFTEXT000000509310&amp;idArticle=LEGIARTI000006475068&amp;dateTexte=&amp;categorieLien=cid" TargetMode="External"/><Relationship Id="rId382" Type="http://schemas.openxmlformats.org/officeDocument/2006/relationships/hyperlink" Target="https://www.legifrance.gouv.fr/affichCodeArticle.do?cidTexte=LEGITEXT000006070721&amp;idArticle=LEGIARTI000006449080&amp;dateTexte=&amp;categorieLien=cid" TargetMode="External"/><Relationship Id="rId438" Type="http://schemas.openxmlformats.org/officeDocument/2006/relationships/hyperlink" Target="https://www.legifrance.gouv.fr/affichTexteArticle.do?cidTexte=JORFTEXT000000501099&amp;idArticle=LEGIARTI000006450523&amp;dateTexte=&amp;categorieLien=cid" TargetMode="External"/><Relationship Id="rId603" Type="http://schemas.openxmlformats.org/officeDocument/2006/relationships/hyperlink" Target="https://www.legifrance.gouv.fr/affichTexteArticle.do;jsessionid=5FF1E359A0ED4667EE19EC861F713053.tplgfr38s_3?idArticle=JORFARTI000028774539&amp;cidTexte=JORFTEXT000028772256&amp;dateTexte=29990101&amp;categorieLien=id" TargetMode="External"/><Relationship Id="rId645" Type="http://schemas.openxmlformats.org/officeDocument/2006/relationships/hyperlink" Target="https://www.legifrance.gouv.fr/affichTexte.do?cidTexte=JORFTEXT000028772256&amp;categorieLien=cid" TargetMode="External"/><Relationship Id="rId687" Type="http://schemas.openxmlformats.org/officeDocument/2006/relationships/hyperlink" Target="https://www.legifrance.gouv.fr/affichTexte.do?cidTexte=JORFTEXT000024543442&amp;categorieLien=cid" TargetMode="External"/><Relationship Id="rId242" Type="http://schemas.openxmlformats.org/officeDocument/2006/relationships/hyperlink" Target="https://www.legifrance.gouv.fr/affichTexteArticle.do;jsessionid=5FF1E359A0ED4667EE19EC861F713053.tplgfr38s_3?idArticle=JORFARTI000028773538&amp;cidTexte=JORFTEXT000028772256&amp;dateTexte=29990101&amp;categorieLien=id" TargetMode="External"/><Relationship Id="rId284" Type="http://schemas.openxmlformats.org/officeDocument/2006/relationships/hyperlink" Target="https://www.legifrance.gouv.fr/affichTexteArticle.do;jsessionid=5FF1E359A0ED4667EE19EC861F713053.tplgfr38s_3?idArticle=JORFARTI000028773759&amp;cidTexte=JORFTEXT000028772256&amp;dateTexte=29990101&amp;categorieLien=id" TargetMode="External"/><Relationship Id="rId491" Type="http://schemas.openxmlformats.org/officeDocument/2006/relationships/hyperlink" Target="https://www.legifrance.gouv.fr/affichCodeArticle.do?cidTexte=LEGITEXT000006074096&amp;idArticle=LEGIARTI000006825595&amp;dateTexte=&amp;categorieLien=cid" TargetMode="External"/><Relationship Id="rId505" Type="http://schemas.openxmlformats.org/officeDocument/2006/relationships/hyperlink" Target="https://www.legifrance.gouv.fr/affichCodeArticle.do?cidTexte=LEGITEXT000006070633&amp;idArticle=LEGIARTI000023241655&amp;dateTexte=&amp;categorieLien=cid" TargetMode="External"/><Relationship Id="rId712" Type="http://schemas.openxmlformats.org/officeDocument/2006/relationships/hyperlink" Target="https://www.legifrance.gouv.fr/jo_rdf.do?cidTexte=JORFTEXT000028772256" TargetMode="External"/><Relationship Id="rId37" Type="http://schemas.openxmlformats.org/officeDocument/2006/relationships/hyperlink" Target="https://www.legifrance.gouv.fr/affichTexteArticle.do;jsessionid=5FF1E359A0ED4667EE19EC861F713053.tplgfr38s_3?idArticle=JORFARTI000028772352&amp;cidTexte=JORFTEXT000028772256&amp;dateTexte=29990101&amp;categorieLien=id" TargetMode="External"/><Relationship Id="rId79" Type="http://schemas.openxmlformats.org/officeDocument/2006/relationships/hyperlink" Target="https://www.legifrance.gouv.fr/affichTexteArticle.do;jsessionid=5FF1E359A0ED4667EE19EC861F713053.tplgfr38s_3?idArticle=JORFARTI000028772523&amp;cidTexte=JORFTEXT000028772256&amp;dateTexte=29990101&amp;categorieLien=id" TargetMode="External"/><Relationship Id="rId102" Type="http://schemas.openxmlformats.org/officeDocument/2006/relationships/hyperlink" Target="https://www.legifrance.gouv.fr/affichTexteArticle.do;jsessionid=5FF1E359A0ED4667EE19EC861F713053.tplgfr38s_3?idArticle=JORFARTI000028772567&amp;cidTexte=JORFTEXT000028772256&amp;dateTexte=29990101&amp;categorieLien=id" TargetMode="External"/><Relationship Id="rId144" Type="http://schemas.openxmlformats.org/officeDocument/2006/relationships/hyperlink" Target="https://www.legifrance.gouv.fr/affichTexteArticle.do;jsessionid=5FF1E359A0ED4667EE19EC861F713053.tplgfr38s_3?idArticle=JORFARTI000028773298&amp;cidTexte=JORFTEXT000028772256&amp;dateTexte=29990101&amp;categorieLien=id" TargetMode="External"/><Relationship Id="rId547" Type="http://schemas.openxmlformats.org/officeDocument/2006/relationships/hyperlink" Target="https://www.legifrance.gouv.fr/affichCode.do?cidTexte=LEGITEXT000006070633&amp;dateTexte=&amp;categorieLien=cid" TargetMode="External"/><Relationship Id="rId589" Type="http://schemas.openxmlformats.org/officeDocument/2006/relationships/hyperlink" Target="https://www.legifrance.gouv.fr/affichCodeArticle.do?cidTexte=LEGITEXT000006071367&amp;idArticle=LEGIARTI000022524799&amp;dateTexte=&amp;categorieLien=cid" TargetMode="External"/><Relationship Id="rId90" Type="http://schemas.openxmlformats.org/officeDocument/2006/relationships/hyperlink" Target="https://www.legifrance.gouv.fr/affichCodeArticle.do?cidTexte=LEGITEXT000006074075&amp;idArticle=LEGIARTI000022475776&amp;dateTexte=&amp;categorieLien=cid" TargetMode="External"/><Relationship Id="rId186" Type="http://schemas.openxmlformats.org/officeDocument/2006/relationships/hyperlink" Target="https://www.legifrance.gouv.fr/affichCodeArticle.do?cidTexte=LEGITEXT000006074096&amp;idArticle=LEGIARTI000006825398&amp;dateTexte=&amp;categorieLien=cid" TargetMode="External"/><Relationship Id="rId351" Type="http://schemas.openxmlformats.org/officeDocument/2006/relationships/hyperlink" Target="https://www.legifrance.gouv.fr/affichCodeArticle.do?cidTexte=LEGITEXT000006070633&amp;idArticle=LEGIARTI000006392824&amp;dateTexte=&amp;categorieLien=cid" TargetMode="External"/><Relationship Id="rId393" Type="http://schemas.openxmlformats.org/officeDocument/2006/relationships/hyperlink" Target="https://www.legifrance.gouv.fr/affichTexteArticle.do;jsessionid=5FF1E359A0ED4667EE19EC861F713053.tplgfr38s_3?idArticle=JORFARTI000028774084&amp;cidTexte=JORFTEXT000028772256&amp;dateTexte=29990101&amp;categorieLien=id" TargetMode="External"/><Relationship Id="rId407" Type="http://schemas.openxmlformats.org/officeDocument/2006/relationships/hyperlink" Target="https://www.legifrance.gouv.fr/affichTexteArticle.do?cidTexte=JORFTEXT000000159413&amp;idArticle=LEGIARTI000006351264&amp;dateTexte=&amp;categorieLien=cid" TargetMode="External"/><Relationship Id="rId449" Type="http://schemas.openxmlformats.org/officeDocument/2006/relationships/hyperlink" Target="https://www.legifrance.gouv.fr/affichTexteArticle.do?cidTexte=JORFTEXT000000504704&amp;idArticle=LEGIARTI000020958469&amp;dateTexte=&amp;categorieLien=cid" TargetMode="External"/><Relationship Id="rId614" Type="http://schemas.openxmlformats.org/officeDocument/2006/relationships/hyperlink" Target="https://www.legifrance.gouv.fr/affichCodeArticle.do?cidTexte=LEGITEXT000005634379&amp;idArticle=LEGIARTI000006238362&amp;dateTexte=&amp;categorieLien=cid" TargetMode="External"/><Relationship Id="rId656" Type="http://schemas.openxmlformats.org/officeDocument/2006/relationships/hyperlink" Target="https://www.legifrance.gouv.fr/affichTexteArticle.do;jsessionid=5FF1E359A0ED4667EE19EC861F713053.tplgfr38s_3?idArticle=JORFARTI000028774764&amp;cidTexte=JORFTEXT000028772256&amp;dateTexte=29990101&amp;categorieLien=id" TargetMode="External"/><Relationship Id="rId211" Type="http://schemas.openxmlformats.org/officeDocument/2006/relationships/hyperlink" Target="https://www.legifrance.gouv.fr/affichCodeArticle.do?cidTexte=LEGITEXT000006074069&amp;idArticle=LEGIARTI000006797343&amp;dateTexte=&amp;categorieLien=cid" TargetMode="External"/><Relationship Id="rId253" Type="http://schemas.openxmlformats.org/officeDocument/2006/relationships/hyperlink" Target="https://www.legifrance.gouv.fr/affichCodeArticle.do?cidTexte=LEGITEXT000006074075&amp;idArticle=LEGIARTI000006815204&amp;dateTexte=&amp;categorieLien=cid" TargetMode="External"/><Relationship Id="rId295" Type="http://schemas.openxmlformats.org/officeDocument/2006/relationships/hyperlink" Target="https://www.legifrance.gouv.fr/affichTexteArticle.do?cidTexte=JORFTEXT000000880200&amp;idArticle=LEGIARTI000006471846&amp;dateTexte=&amp;categorieLien=cid" TargetMode="External"/><Relationship Id="rId309" Type="http://schemas.openxmlformats.org/officeDocument/2006/relationships/hyperlink" Target="https://www.legifrance.gouv.fr/affichCodeArticle.do?cidTexte=LEGITEXT000006073189&amp;idArticle=LEGIARTI000006743252&amp;dateTexte=&amp;categorieLien=cid" TargetMode="External"/><Relationship Id="rId460" Type="http://schemas.openxmlformats.org/officeDocument/2006/relationships/hyperlink" Target="https://www.legifrance.gouv.fr/affichCodeArticle.do?cidTexte=LEGITEXT000006069577&amp;idArticle=LEGIARTI000026876399&amp;dateTexte=&amp;categorieLien=cid" TargetMode="External"/><Relationship Id="rId516" Type="http://schemas.openxmlformats.org/officeDocument/2006/relationships/hyperlink" Target="https://www.legifrance.gouv.fr/affichTexteArticle.do;jsessionid=5FF1E359A0ED4667EE19EC861F713053.tplgfr38s_3?idArticle=JORFARTI000028773009&amp;cidTexte=JORFTEXT000028772256&amp;dateTexte=29990101&amp;categorieLien=id" TargetMode="External"/><Relationship Id="rId698" Type="http://schemas.openxmlformats.org/officeDocument/2006/relationships/hyperlink" Target="https://www.legifrance.gouv.fr/affichCodeArticle.do?cidTexte=LEGITEXT000006074075&amp;idArticle=LEGIARTI000006815652&amp;dateTexte=&amp;categorieLien=cid" TargetMode="External"/><Relationship Id="rId48" Type="http://schemas.openxmlformats.org/officeDocument/2006/relationships/hyperlink" Target="https://www.legifrance.gouv.fr/affichCodeArticle.do?cidTexte=LEGITEXT000006072665&amp;idArticle=LEGIARTI000006686576&amp;dateTexte=&amp;categorieLien=cid" TargetMode="External"/><Relationship Id="rId113" Type="http://schemas.openxmlformats.org/officeDocument/2006/relationships/hyperlink" Target="https://www.legifrance.gouv.fr/affichCodeArticle.do?cidTexte=LEGITEXT000006072665&amp;idArticle=LEGIARTI000006686819&amp;dateTexte=&amp;categorieLien=cid" TargetMode="External"/><Relationship Id="rId320" Type="http://schemas.openxmlformats.org/officeDocument/2006/relationships/hyperlink" Target="https://www.legifrance.gouv.fr/affichCodeArticle.do?cidTexte=LEGITEXT000006074096&amp;idArticle=LEGIARTI000006824251&amp;dateTexte=&amp;categorieLien=cid" TargetMode="External"/><Relationship Id="rId558" Type="http://schemas.openxmlformats.org/officeDocument/2006/relationships/hyperlink" Target="https://www.legifrance.gouv.fr/affichTexte.do?cidTexte=JORFTEXT000028772256&amp;categorieLien=cid" TargetMode="External"/><Relationship Id="rId155" Type="http://schemas.openxmlformats.org/officeDocument/2006/relationships/hyperlink" Target="https://www.legifrance.gouv.fr/affichCodeArticle.do?cidTexte=LEGITEXT000006074096&amp;idArticle=LEGIARTI000006824983&amp;dateTexte=&amp;categorieLien=cid" TargetMode="External"/><Relationship Id="rId197" Type="http://schemas.openxmlformats.org/officeDocument/2006/relationships/hyperlink" Target="https://www.legifrance.gouv.fr/affichTexteArticle.do;jsessionid=5FF1E359A0ED4667EE19EC861F713053.tplgfr38s_3?idArticle=JORFARTI000028774926&amp;cidTexte=JORFTEXT000028772256&amp;dateTexte=29990101&amp;categorieLien=id" TargetMode="External"/><Relationship Id="rId362" Type="http://schemas.openxmlformats.org/officeDocument/2006/relationships/hyperlink" Target="https://www.legifrance.gouv.fr/affichTexteArticle.do;jsessionid=5FF1E359A0ED4667EE19EC861F713053.tplgfr38s_3?idArticle=JORFARTI000028773998&amp;cidTexte=JORFTEXT000028772256&amp;dateTexte=29990101&amp;categorieLien=id" TargetMode="External"/><Relationship Id="rId418" Type="http://schemas.openxmlformats.org/officeDocument/2006/relationships/hyperlink" Target="https://www.legifrance.gouv.fr/affichTexte.do?cidTexte=JORFTEXT000000886460&amp;categorieLien=cid" TargetMode="External"/><Relationship Id="rId625" Type="http://schemas.openxmlformats.org/officeDocument/2006/relationships/hyperlink" Target="https://www.legifrance.gouv.fr/affichTexteArticle.do;jsessionid=5FF1E359A0ED4667EE19EC861F713053.tplgfr38s_3?idArticle=JORFARTI000028774654&amp;cidTexte=JORFTEXT000028772256&amp;dateTexte=29990101&amp;categorieLien=id" TargetMode="External"/><Relationship Id="rId222" Type="http://schemas.openxmlformats.org/officeDocument/2006/relationships/hyperlink" Target="https://www.legifrance.gouv.fr/affichTexteArticle.do?cidTexte=JORFTEXT000000880200&amp;idArticle=LEGIARTI000006471846&amp;dateTexte=&amp;categorieLien=cid" TargetMode="External"/><Relationship Id="rId264" Type="http://schemas.openxmlformats.org/officeDocument/2006/relationships/hyperlink" Target="https://www.legifrance.gouv.fr/affichCodeArticle.do?cidTexte=LEGITEXT000005634379&amp;idArticle=LEGIARTI000006241956&amp;dateTexte=&amp;categorieLien=cid" TargetMode="External"/><Relationship Id="rId471" Type="http://schemas.openxmlformats.org/officeDocument/2006/relationships/hyperlink" Target="https://www.legifrance.gouv.fr/affichCodeArticle.do?cidTexte=LEGITEXT000006070299&amp;idArticle=LEGIARTI000026957590&amp;dateTexte=&amp;categorieLien=cid" TargetMode="External"/><Relationship Id="rId667" Type="http://schemas.openxmlformats.org/officeDocument/2006/relationships/hyperlink" Target="https://www.legifrance.gouv.fr/affichTexteArticle.do?cidTexte=JORFTEXT000024248724&amp;idArticle=JORFARTI000024248769&amp;categorieLien=cid" TargetMode="External"/><Relationship Id="rId17" Type="http://schemas.openxmlformats.org/officeDocument/2006/relationships/hyperlink" Target="https://www.legifrance.gouv.fr/affichCodeArticle.do?cidTexte=LEGITEXT000006074220&amp;idArticle=LEGIARTI000006832937&amp;dateTexte=&amp;categorieLien=cid" TargetMode="External"/><Relationship Id="rId59" Type="http://schemas.openxmlformats.org/officeDocument/2006/relationships/hyperlink" Target="https://www.legifrance.gouv.fr/affichCodeArticle.do?cidTexte=LEGITEXT000006073189&amp;idArticle=LEGIARTI000006743252&amp;dateTexte=&amp;categorieLien=cid" TargetMode="External"/><Relationship Id="rId124" Type="http://schemas.openxmlformats.org/officeDocument/2006/relationships/hyperlink" Target="https://www.legifrance.gouv.fr/affichTexteArticle.do?cidTexte=JORFTEXT000000880200&amp;idArticle=LEGIARTI000006471587&amp;dateTexte=&amp;categorieLien=cid" TargetMode="External"/><Relationship Id="rId527" Type="http://schemas.openxmlformats.org/officeDocument/2006/relationships/hyperlink" Target="https://www.legifrance.gouv.fr/affichTexteArticle.do;jsessionid=5FF1E359A0ED4667EE19EC861F713053.tplgfr38s_3?idArticle=JORFARTI000028773026&amp;cidTexte=JORFTEXT000028772256&amp;dateTexte=29990101&amp;categorieLien=id" TargetMode="External"/><Relationship Id="rId569" Type="http://schemas.openxmlformats.org/officeDocument/2006/relationships/hyperlink" Target="https://www.legifrance.gouv.fr/affichTexteArticle.do;jsessionid=5FF1E359A0ED4667EE19EC861F713053.tplgfr38s_3?idArticle=JORFARTI000028774423&amp;cidTexte=JORFTEXT000028772256&amp;dateTexte=29990101&amp;categorieLien=id" TargetMode="External"/><Relationship Id="rId70" Type="http://schemas.openxmlformats.org/officeDocument/2006/relationships/hyperlink" Target="https://www.legifrance.gouv.fr/affichTexteArticle.do?cidTexte=JORFTEXT000000879802&amp;idArticle=LEGIARTI000006463040&amp;dateTexte=&amp;categorieLien=cid" TargetMode="External"/><Relationship Id="rId166" Type="http://schemas.openxmlformats.org/officeDocument/2006/relationships/hyperlink" Target="https://www.legifrance.gouv.fr/affichCodeArticle.do?cidTexte=LEGITEXT000006073189&amp;idArticle=LEGIARTI000006745319&amp;dateTexte=&amp;categorieLien=cid" TargetMode="External"/><Relationship Id="rId331" Type="http://schemas.openxmlformats.org/officeDocument/2006/relationships/hyperlink" Target="https://www.legifrance.gouv.fr/affichCodeArticle.do?cidTexte=LEGITEXT000006072665&amp;idArticle=LEGIARTI000006686570&amp;dateTexte=&amp;categorieLien=cid" TargetMode="External"/><Relationship Id="rId373" Type="http://schemas.openxmlformats.org/officeDocument/2006/relationships/hyperlink" Target="https://www.legifrance.gouv.fr/affichCodeArticle.do?cidTexte=LEGITEXT000006072665&amp;idArticle=LEGIARTI000006686605&amp;dateTexte=&amp;categorieLien=cid" TargetMode="External"/><Relationship Id="rId429" Type="http://schemas.openxmlformats.org/officeDocument/2006/relationships/hyperlink" Target="https://www.legifrance.gouv.fr/affichTexteArticle.do;jsessionid=5FF1E359A0ED4667EE19EC861F713053.tplgfr38s_3?idArticle=JORFARTI000028772770&amp;cidTexte=JORFTEXT000028772256&amp;dateTexte=29990101&amp;categorieLien=id" TargetMode="External"/><Relationship Id="rId580" Type="http://schemas.openxmlformats.org/officeDocument/2006/relationships/hyperlink" Target="https://www.legifrance.gouv.fr/affichCodeArticle.do?cidTexte=LEGITEXT000006074096&amp;idArticle=LEGIARTI000006824763&amp;dateTexte=&amp;categorieLien=cid" TargetMode="External"/><Relationship Id="rId636" Type="http://schemas.openxmlformats.org/officeDocument/2006/relationships/hyperlink" Target="https://www.legifrance.gouv.fr/affichTexte.do?cidTexte=JORFTEXT000000583573&amp;categorieLien=cid" TargetMode="External"/><Relationship Id="rId1" Type="http://schemas.openxmlformats.org/officeDocument/2006/relationships/numbering" Target="numbering.xml"/><Relationship Id="rId233" Type="http://schemas.openxmlformats.org/officeDocument/2006/relationships/hyperlink" Target="https://www.legifrance.gouv.fr/affichTexteArticle.do?cidTexte=JORFTEXT000000880200&amp;idArticle=LEGIARTI000020441315&amp;dateTexte=&amp;categorieLien=cid" TargetMode="External"/><Relationship Id="rId440" Type="http://schemas.openxmlformats.org/officeDocument/2006/relationships/hyperlink" Target="https://www.legifrance.gouv.fr/affichTexteArticle.do?cidTexte=JORFTEXT000025044460&amp;idArticle=JORFARTI000025044785&amp;categorieLien=cid" TargetMode="External"/><Relationship Id="rId678" Type="http://schemas.openxmlformats.org/officeDocument/2006/relationships/hyperlink" Target="https://www.legifrance.gouv.fr/affichCode.do?cidTexte=LEGITEXT000006070633&amp;dateTexte=&amp;categorieLien=cid" TargetMode="External"/><Relationship Id="rId28" Type="http://schemas.openxmlformats.org/officeDocument/2006/relationships/hyperlink" Target="https://www.legifrance.gouv.fr/affichTexteArticle.do?cidTexte=JORFTEXT000000509310&amp;idArticle=LEGIARTI000006475068&amp;dateTexte=&amp;categorieLien=cid" TargetMode="External"/><Relationship Id="rId275" Type="http://schemas.openxmlformats.org/officeDocument/2006/relationships/hyperlink" Target="https://www.legifrance.gouv.fr/affichCodeArticle.do?cidTexte=LEGITEXT000006074096&amp;idArticle=LEGIARTI000006825823&amp;dateTexte=&amp;categorieLien=cid" TargetMode="External"/><Relationship Id="rId300" Type="http://schemas.openxmlformats.org/officeDocument/2006/relationships/hyperlink" Target="https://www.legifrance.gouv.fr/affichTexteArticle.do;jsessionid=5FF1E359A0ED4667EE19EC861F713053.tplgfr38s_3?idArticle=JORFARTI000028773823&amp;cidTexte=JORFTEXT000028772256&amp;dateTexte=29990101&amp;categorieLien=id" TargetMode="External"/><Relationship Id="rId482" Type="http://schemas.openxmlformats.org/officeDocument/2006/relationships/hyperlink" Target="https://www.legifrance.gouv.fr/affichTexteArticle.do;jsessionid=5FF1E359A0ED4667EE19EC861F713053.tplgfr38s_3?idArticle=JORFARTI000028774256&amp;cidTexte=JORFTEXT000028772256&amp;dateTexte=29990101&amp;categorieLien=id" TargetMode="External"/><Relationship Id="rId538" Type="http://schemas.openxmlformats.org/officeDocument/2006/relationships/hyperlink" Target="https://www.legifrance.gouv.fr/affichCodeArticle.do?cidTexte=LEGITEXT000020908868&amp;idArticle=LEGIARTI000020907903&amp;dateTexte=&amp;categorieLien=cid" TargetMode="External"/><Relationship Id="rId703" Type="http://schemas.openxmlformats.org/officeDocument/2006/relationships/hyperlink" Target="https://www.legifrance.gouv.fr/affichCodeArticle.do?cidTexte=LEGITEXT000005634379&amp;idArticle=LEGIARTI000006241147&amp;dateTexte=&amp;categorieLien=cid" TargetMode="External"/><Relationship Id="rId81" Type="http://schemas.openxmlformats.org/officeDocument/2006/relationships/hyperlink" Target="https://www.legifrance.gouv.fr/affichTexteArticle.do?cidTexte=JORFTEXT000000509310&amp;idArticle=LEGIARTI000006475019&amp;dateTexte=&amp;categorieLien=cid" TargetMode="External"/><Relationship Id="rId135" Type="http://schemas.openxmlformats.org/officeDocument/2006/relationships/hyperlink" Target="https://www.legifrance.gouv.fr/affichCodeArticle.do?cidTexte=LEGITEXT000006069565&amp;idArticle=LEGIARTI000006292193&amp;dateTexte=&amp;categorieLien=cid" TargetMode="External"/><Relationship Id="rId177" Type="http://schemas.openxmlformats.org/officeDocument/2006/relationships/hyperlink" Target="https://www.legifrance.gouv.fr/affichTexteArticle.do;jsessionid=5FF1E359A0ED4667EE19EC861F713053.tplgfr38s_3?idArticle=JORFARTI000028774851&amp;cidTexte=JORFTEXT000028772256&amp;dateTexte=29990101&amp;categorieLien=id" TargetMode="External"/><Relationship Id="rId342" Type="http://schemas.openxmlformats.org/officeDocument/2006/relationships/hyperlink" Target="https://www.legifrance.gouv.fr/affichCodeArticle.do?cidTexte=LEGITEXT000006074096&amp;idArticle=LEGIARTI000006825773&amp;dateTexte=&amp;categorieLien=cid" TargetMode="External"/><Relationship Id="rId384" Type="http://schemas.openxmlformats.org/officeDocument/2006/relationships/hyperlink" Target="https://www.legifrance.gouv.fr/affichCodeArticle.do?cidTexte=LEGITEXT000006072665&amp;idArticle=LEGIARTI000006686559&amp;dateTexte=&amp;categorieLien=cid" TargetMode="External"/><Relationship Id="rId591" Type="http://schemas.openxmlformats.org/officeDocument/2006/relationships/hyperlink" Target="https://www.legifrance.gouv.fr/affichCodeArticle.do?cidTexte=LEGITEXT000006074075&amp;idArticle=LEGIARTI000006814302&amp;dateTexte=&amp;categorieLien=cid" TargetMode="External"/><Relationship Id="rId605" Type="http://schemas.openxmlformats.org/officeDocument/2006/relationships/hyperlink" Target="https://www.legifrance.gouv.fr/affichTexteArticle.do;jsessionid=5FF1E359A0ED4667EE19EC861F713053.tplgfr38s_3?idArticle=JORFARTI000028774562&amp;cidTexte=JORFTEXT000028772256&amp;dateTexte=29990101&amp;categorieLien=id" TargetMode="External"/><Relationship Id="rId202" Type="http://schemas.openxmlformats.org/officeDocument/2006/relationships/hyperlink" Target="https://www.legifrance.gouv.fr/affichCodeArticle.do?cidTexte=LEGITEXT000006074096&amp;idArticle=LEGIARTI000006825398&amp;dateTexte=&amp;categorieLien=cid" TargetMode="External"/><Relationship Id="rId244" Type="http://schemas.openxmlformats.org/officeDocument/2006/relationships/hyperlink" Target="https://www.legifrance.gouv.fr/affichCodeArticle.do?cidTexte=LEGITEXT000006070721&amp;idArticle=LEGIARTI000006449080&amp;dateTexte=&amp;categorieLien=cid" TargetMode="External"/><Relationship Id="rId647" Type="http://schemas.openxmlformats.org/officeDocument/2006/relationships/hyperlink" Target="https://www.legifrance.gouv.fr/affichCodeArticle.do?cidTexte=LEGITEXT000006074075&amp;idArticle=LEGIARTI000006815155&amp;dateTexte=&amp;categorieLien=cid" TargetMode="External"/><Relationship Id="rId689" Type="http://schemas.openxmlformats.org/officeDocument/2006/relationships/hyperlink" Target="https://www.legifrance.gouv.fr/affichTexte.do?cidTexte=JORFTEXT000025014897&amp;categorieLien=cid" TargetMode="External"/><Relationship Id="rId39" Type="http://schemas.openxmlformats.org/officeDocument/2006/relationships/hyperlink" Target="https://www.legifrance.gouv.fr/affichTexteArticle.do?cidTexte=JORFTEXT000000207538&amp;idArticle=LEGIARTI000006821193&amp;dateTexte=&amp;categorieLien=cid" TargetMode="External"/><Relationship Id="rId286" Type="http://schemas.openxmlformats.org/officeDocument/2006/relationships/hyperlink" Target="https://www.legifrance.gouv.fr/affichTexteArticle.do?cidTexte=JORFTEXT000000880200&amp;idArticle=LEGIARTI000006471764&amp;dateTexte=&amp;categorieLien=cid" TargetMode="External"/><Relationship Id="rId451" Type="http://schemas.openxmlformats.org/officeDocument/2006/relationships/hyperlink" Target="https://www.legifrance.gouv.fr/affichCode.do?cidTexte=LEGITEXT000006072050&amp;dateTexte=&amp;categorieLien=cid" TargetMode="External"/><Relationship Id="rId493" Type="http://schemas.openxmlformats.org/officeDocument/2006/relationships/hyperlink" Target="https://www.legifrance.gouv.fr/affichTexteArticle.do;jsessionid=5FF1E359A0ED4667EE19EC861F713053.tplgfr38s_3?idArticle=JORFARTI000028774348&amp;cidTexte=JORFTEXT000028772256&amp;dateTexte=29990101&amp;categorieLien=id" TargetMode="External"/><Relationship Id="rId507" Type="http://schemas.openxmlformats.org/officeDocument/2006/relationships/hyperlink" Target="https://www.legifrance.gouv.fr/affichCodeArticle.do?cidTexte=LEGITEXT000006074096&amp;idArticle=LEGIARTI000006824753&amp;dateTexte=&amp;categorieLien=cid" TargetMode="External"/><Relationship Id="rId549" Type="http://schemas.openxmlformats.org/officeDocument/2006/relationships/hyperlink" Target="https://www.legifrance.gouv.fr/affichCodeArticle.do?cidTexte=LEGITEXT000006074075&amp;idArticle=LEGIARTI000022474669&amp;dateTexte=&amp;categorieLien=cid" TargetMode="External"/><Relationship Id="rId714" Type="http://schemas.openxmlformats.org/officeDocument/2006/relationships/theme" Target="theme/theme1.xml"/><Relationship Id="rId50" Type="http://schemas.openxmlformats.org/officeDocument/2006/relationships/hyperlink" Target="https://www.legifrance.gouv.fr/affichCodeArticle.do?cidTexte=LEGITEXT000006072665&amp;idArticle=LEGIARTI000006686564&amp;dateTexte=&amp;categorieLien=cid" TargetMode="External"/><Relationship Id="rId104" Type="http://schemas.openxmlformats.org/officeDocument/2006/relationships/hyperlink" Target="https://www.legifrance.gouv.fr/affichTexte.do?cidTexte=JORFTEXT000000874247&amp;categorieLien=cid" TargetMode="External"/><Relationship Id="rId146" Type="http://schemas.openxmlformats.org/officeDocument/2006/relationships/hyperlink" Target="https://www.legifrance.gouv.fr/affichTexteArticle.do?cidTexte=JORFTEXT000000509310&amp;idArticle=LEGIARTI000006475187&amp;dateTexte=&amp;categorieLien=cid" TargetMode="External"/><Relationship Id="rId188" Type="http://schemas.openxmlformats.org/officeDocument/2006/relationships/hyperlink" Target="https://www.legifrance.gouv.fr/affichCodeArticle.do?cidTexte=LEGITEXT000006074096&amp;idArticle=LEGIARTI000006825388&amp;dateTexte=&amp;categorieLien=cid" TargetMode="External"/><Relationship Id="rId311" Type="http://schemas.openxmlformats.org/officeDocument/2006/relationships/hyperlink" Target="https://www.legifrance.gouv.fr/affichCodeArticle.do?cidTexte=LEGITEXT000006074075&amp;idArticle=LEGIARTI000006815057&amp;dateTexte=&amp;categorieLien=cid" TargetMode="External"/><Relationship Id="rId353" Type="http://schemas.openxmlformats.org/officeDocument/2006/relationships/hyperlink" Target="https://www.legifrance.gouv.fr/affichCodeArticle.do?cidTexte=LEGITEXT000006072665&amp;idArticle=LEGIARTI000006686605&amp;dateTexte=&amp;categorieLien=cid" TargetMode="External"/><Relationship Id="rId395" Type="http://schemas.openxmlformats.org/officeDocument/2006/relationships/hyperlink" Target="https://www.legifrance.gouv.fr/affichTexteArticle.do;jsessionid=5FF1E359A0ED4667EE19EC861F713053.tplgfr38s_3?idArticle=JORFARTI000028774094&amp;cidTexte=JORFTEXT000028772256&amp;dateTexte=29990101&amp;categorieLien=id" TargetMode="External"/><Relationship Id="rId409" Type="http://schemas.openxmlformats.org/officeDocument/2006/relationships/hyperlink" Target="https://www.legifrance.gouv.fr/affichTexte.do?cidTexte=JORFTEXT000000874247&amp;categorieLien=cid" TargetMode="External"/><Relationship Id="rId560" Type="http://schemas.openxmlformats.org/officeDocument/2006/relationships/hyperlink" Target="https://www.legifrance.gouv.fr/affichCodeArticle.do?cidTexte=LEGITEXT000005634379&amp;idArticle=LEGIARTI000006241126&amp;dateTexte=&amp;categorieLien=cid" TargetMode="External"/><Relationship Id="rId92" Type="http://schemas.openxmlformats.org/officeDocument/2006/relationships/hyperlink" Target="https://www.legifrance.gouv.fr/affichTexte.do?cidTexte=JORFTEXT000000874247&amp;categorieLien=cid" TargetMode="External"/><Relationship Id="rId213" Type="http://schemas.openxmlformats.org/officeDocument/2006/relationships/hyperlink" Target="https://www.legifrance.gouv.fr/affichTexteArticle.do;jsessionid=5FF1E359A0ED4667EE19EC861F713053.tplgfr38s_3?idArticle=JORFARTI000028772676&amp;cidTexte=JORFTEXT000028772256&amp;dateTexte=29990101&amp;categorieLien=id" TargetMode="External"/><Relationship Id="rId420" Type="http://schemas.openxmlformats.org/officeDocument/2006/relationships/hyperlink" Target="https://www.legifrance.gouv.fr/affichTexte.do?cidTexte=JORFTEXT000000886460&amp;categorieLien=cid" TargetMode="External"/><Relationship Id="rId616" Type="http://schemas.openxmlformats.org/officeDocument/2006/relationships/hyperlink" Target="https://www.legifrance.gouv.fr/affichCodeArticle.do?cidTexte=LEGITEXT000006074096&amp;idArticle=LEGIARTI000006825181&amp;dateTexte=&amp;categorieLien=cid" TargetMode="External"/><Relationship Id="rId658" Type="http://schemas.openxmlformats.org/officeDocument/2006/relationships/hyperlink" Target="https://www.legifrance.gouv.fr/affichTexteArticle.do?cidTexte=JORFTEXT000000623191&amp;idArticle=LEGIARTI000006479087&amp;dateTexte=&amp;categorieLien=cid" TargetMode="External"/><Relationship Id="rId255" Type="http://schemas.openxmlformats.org/officeDocument/2006/relationships/hyperlink" Target="https://www.legifrance.gouv.fr/affichTexte.do?cidTexte=JORFTEXT000028772256&amp;categorieLien=cid" TargetMode="External"/><Relationship Id="rId297" Type="http://schemas.openxmlformats.org/officeDocument/2006/relationships/hyperlink" Target="https://www.legifrance.gouv.fr/affichTexteArticle.do;jsessionid=5FF1E359A0ED4667EE19EC861F713053.tplgfr38s_3?idArticle=JORFARTI000028773809&amp;cidTexte=JORFTEXT000028772256&amp;dateTexte=29990101&amp;categorieLien=id" TargetMode="External"/><Relationship Id="rId462" Type="http://schemas.openxmlformats.org/officeDocument/2006/relationships/hyperlink" Target="https://www.legifrance.gouv.fr/affichTexte.do?cidTexte=JORFTEXT000028772256&amp;categorieLien=cid" TargetMode="External"/><Relationship Id="rId518" Type="http://schemas.openxmlformats.org/officeDocument/2006/relationships/hyperlink" Target="https://www.legifrance.gouv.fr/affichCode.do?cidTexte=LEGITEXT000006074096&amp;dateTexte=&amp;categorieLien=cid" TargetMode="External"/><Relationship Id="rId115" Type="http://schemas.openxmlformats.org/officeDocument/2006/relationships/hyperlink" Target="https://www.legifrance.gouv.fr/affichCodeArticle.do?cidTexte=LEGITEXT000006069565&amp;idArticle=LEGIARTI000006292628&amp;dateTexte=&amp;categorieLien=cid" TargetMode="External"/><Relationship Id="rId157" Type="http://schemas.openxmlformats.org/officeDocument/2006/relationships/hyperlink" Target="https://www.legifrance.gouv.fr/affichCodeArticle.do?cidTexte=LEGITEXT000006074096&amp;idArticle=LEGIARTI000006825344&amp;dateTexte=&amp;categorieLien=cid" TargetMode="External"/><Relationship Id="rId322" Type="http://schemas.openxmlformats.org/officeDocument/2006/relationships/hyperlink" Target="https://www.legifrance.gouv.fr/affichCodeArticle.do?cidTexte=LEGITEXT000006074096&amp;idArticle=LEGIARTI000006825761&amp;dateTexte=&amp;categorieLien=cid" TargetMode="External"/><Relationship Id="rId364" Type="http://schemas.openxmlformats.org/officeDocument/2006/relationships/hyperlink" Target="https://www.legifrance.gouv.fr/affichCodeArticle.do?cidTexte=LEGITEXT000006072665&amp;idArticle=LEGIARTI000006686605&amp;dateTexte=&amp;categorieLien=cid" TargetMode="External"/><Relationship Id="rId61" Type="http://schemas.openxmlformats.org/officeDocument/2006/relationships/hyperlink" Target="https://www.legifrance.gouv.fr/affichTexteArticle.do?cidTexte=JORFTEXT000000874247&amp;idArticle=LEGIARTI000006474641&amp;dateTexte=&amp;categorieLien=cid" TargetMode="External"/><Relationship Id="rId199" Type="http://schemas.openxmlformats.org/officeDocument/2006/relationships/hyperlink" Target="https://www.legifrance.gouv.fr/affichTexteArticle.do;jsessionid=5FF1E359A0ED4667EE19EC861F713053.tplgfr38s_3?idArticle=JORFARTI000028773393&amp;cidTexte=JORFTEXT000028772256&amp;dateTexte=29990101&amp;categorieLien=id" TargetMode="External"/><Relationship Id="rId571" Type="http://schemas.openxmlformats.org/officeDocument/2006/relationships/hyperlink" Target="https://www.legifrance.gouv.fr/affichCodeArticle.do?cidTexte=LEGITEXT000006074075&amp;idArticle=LEGIARTI000006815947&amp;dateTexte=&amp;categorieLien=cid" TargetMode="External"/><Relationship Id="rId627" Type="http://schemas.openxmlformats.org/officeDocument/2006/relationships/hyperlink" Target="https://www.legifrance.gouv.fr/affichCodeArticle.do?cidTexte=LEGITEXT000006074075&amp;idArticle=LEGIARTI000006814602&amp;dateTexte=&amp;categorieLien=cid" TargetMode="External"/><Relationship Id="rId669" Type="http://schemas.openxmlformats.org/officeDocument/2006/relationships/hyperlink" Target="https://www.legifrance.gouv.fr/affichCodeArticle.do?cidTexte=LEGITEXT000006074075&amp;idArticle=LEGIARTI000006814298&amp;dateTexte=&amp;categorieLien=cid" TargetMode="External"/><Relationship Id="rId19" Type="http://schemas.openxmlformats.org/officeDocument/2006/relationships/hyperlink" Target="https://www.legifrance.gouv.fr/affichCodeArticle.do?cidTexte=LEGITEXT000006073189&amp;idArticle=LEGIARTI000006743358&amp;dateTexte=&amp;categorieLien=cid" TargetMode="External"/><Relationship Id="rId224" Type="http://schemas.openxmlformats.org/officeDocument/2006/relationships/hyperlink" Target="https://www.legifrance.gouv.fr/affichCodeArticle.do?cidTexte=LEGITEXT000006072665&amp;idArticle=LEGIARTI000006686570&amp;dateTexte=&amp;categorieLien=cid" TargetMode="External"/><Relationship Id="rId266" Type="http://schemas.openxmlformats.org/officeDocument/2006/relationships/hyperlink" Target="https://www.legifrance.gouv.fr/affichTexteArticle.do;jsessionid=5FF1E359A0ED4667EE19EC861F713053.tplgfr38s_3?idArticle=JORFARTI000028773686&amp;cidTexte=JORFTEXT000028772256&amp;dateTexte=29990101&amp;categorieLien=id" TargetMode="External"/><Relationship Id="rId431" Type="http://schemas.openxmlformats.org/officeDocument/2006/relationships/hyperlink" Target="https://www.legifrance.gouv.fr/affichTexteArticle.do;jsessionid=5FF1E359A0ED4667EE19EC861F713053.tplgfr38s_3?idArticle=JORFARTI000028772776&amp;cidTexte=JORFTEXT000028772256&amp;dateTexte=29990101&amp;categorieLien=id" TargetMode="External"/><Relationship Id="rId473" Type="http://schemas.openxmlformats.org/officeDocument/2006/relationships/hyperlink" Target="https://www.legifrance.gouv.fr/affichTexteArticle.do;jsessionid=5FF1E359A0ED4667EE19EC861F713053.tplgfr38s_3?idArticle=JORFARTI000028774233&amp;cidTexte=JORFTEXT000028772256&amp;dateTexte=29990101&amp;categorieLien=id" TargetMode="External"/><Relationship Id="rId529" Type="http://schemas.openxmlformats.org/officeDocument/2006/relationships/hyperlink" Target="https://www.legifrance.gouv.fr/affichCodeArticle.do?cidTexte=LEGITEXT000006074075&amp;idArticle=LEGIARTI000006815842&amp;dateTexte=&amp;categorieLien=cid" TargetMode="External"/><Relationship Id="rId680" Type="http://schemas.openxmlformats.org/officeDocument/2006/relationships/hyperlink" Target="https://www.legifrance.gouv.fr/affichCodeArticle.do?cidTexte=LEGITEXT000006070633&amp;idArticle=LEGIARTI00000638988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179</Pages>
  <Words>150694</Words>
  <Characters>828819</Characters>
  <Application>Microsoft Office Word</Application>
  <DocSecurity>0</DocSecurity>
  <Lines>6906</Lines>
  <Paragraphs>1955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MAISONNEUVE</dc:creator>
  <cp:keywords/>
  <dc:description/>
  <cp:lastModifiedBy>Blandine MAISONNEUVE</cp:lastModifiedBy>
  <cp:revision>1</cp:revision>
  <dcterms:created xsi:type="dcterms:W3CDTF">2020-02-03T10:31:00Z</dcterms:created>
  <dcterms:modified xsi:type="dcterms:W3CDTF">2020-02-03T10:31:00Z</dcterms:modified>
</cp:coreProperties>
</file>